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hAnsi="黑体" w:eastAsia="黑体"/>
          <w:sz w:val="32"/>
          <w:szCs w:val="32"/>
        </w:rPr>
      </w:pPr>
      <w:r>
        <w:rPr>
          <w:rFonts w:hint="eastAsia" w:ascii="宋体" w:hAnsi="宋体" w:cs="宋体"/>
          <w:sz w:val="32"/>
          <w:szCs w:val="32"/>
        </w:rPr>
        <w:t xml:space="preserve"> </w:t>
      </w:r>
      <w:r>
        <w:rPr>
          <w:rFonts w:hint="eastAsia" w:ascii="文星简大标宋" w:eastAsia="文星简大标宋"/>
          <w:sz w:val="84"/>
          <w:szCs w:val="84"/>
        </w:rPr>
        <w:t xml:space="preserve">    </w:t>
      </w:r>
    </w:p>
    <w:p>
      <w:pPr>
        <w:jc w:val="center"/>
        <w:rPr>
          <w:rFonts w:ascii="文星简大标宋" w:eastAsia="文星简大标宋"/>
          <w:sz w:val="84"/>
          <w:szCs w:val="84"/>
        </w:rPr>
      </w:pPr>
    </w:p>
    <w:p>
      <w:pPr>
        <w:jc w:val="center"/>
        <w:rPr>
          <w:rFonts w:ascii="文星简大标宋" w:eastAsia="文星简大标宋"/>
          <w:sz w:val="84"/>
          <w:szCs w:val="84"/>
        </w:rPr>
      </w:pPr>
    </w:p>
    <w:p>
      <w:pPr>
        <w:jc w:val="center"/>
        <w:rPr>
          <w:rFonts w:ascii="文星简大标宋" w:eastAsia="文星简大标宋"/>
          <w:sz w:val="84"/>
          <w:szCs w:val="84"/>
        </w:rPr>
      </w:pPr>
      <w:r>
        <w:rPr>
          <w:rFonts w:hint="eastAsia" w:ascii="文星简大标宋" w:eastAsia="文星简大标宋"/>
          <w:sz w:val="84"/>
          <w:szCs w:val="84"/>
        </w:rPr>
        <w:t>2020年度</w:t>
      </w:r>
    </w:p>
    <w:p>
      <w:pPr>
        <w:jc w:val="center"/>
        <w:rPr>
          <w:sz w:val="52"/>
          <w:szCs w:val="52"/>
        </w:rPr>
      </w:pPr>
      <w:r>
        <w:rPr>
          <w:rFonts w:hint="eastAsia" w:ascii="文星简大标宋" w:eastAsia="文星简大标宋"/>
          <w:sz w:val="84"/>
          <w:szCs w:val="84"/>
        </w:rPr>
        <w:t>青岛市市北区人民法院（汇总）部门决算</w:t>
      </w:r>
    </w:p>
    <w:p/>
    <w:p/>
    <w:p/>
    <w:p/>
    <w:p/>
    <w:p/>
    <w:p/>
    <w:p/>
    <w:p/>
    <w:p/>
    <w:p/>
    <w:p>
      <w:pPr>
        <w:spacing w:line="580" w:lineRule="exact"/>
        <w:jc w:val="center"/>
        <w:rPr>
          <w:rFonts w:ascii="黑体" w:eastAsia="黑体"/>
          <w:sz w:val="44"/>
          <w:szCs w:val="44"/>
        </w:rPr>
      </w:pPr>
      <w:r>
        <w:br w:type="page"/>
      </w:r>
      <w:r>
        <w:rPr>
          <w:rFonts w:hint="eastAsia" w:ascii="黑体" w:eastAsia="黑体"/>
          <w:sz w:val="44"/>
          <w:szCs w:val="44"/>
        </w:rPr>
        <w:t>目  录</w:t>
      </w: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rPr>
          <w:rFonts w:ascii="黑体" w:eastAsia="黑体"/>
          <w:sz w:val="36"/>
          <w:szCs w:val="36"/>
        </w:rPr>
      </w:pPr>
      <w:r>
        <w:rPr>
          <w:rFonts w:hint="eastAsia" w:ascii="黑体" w:eastAsia="黑体"/>
          <w:sz w:val="36"/>
          <w:szCs w:val="36"/>
        </w:rPr>
        <w:t>第一部分 部门概况</w:t>
      </w:r>
    </w:p>
    <w:p>
      <w:pPr>
        <w:spacing w:line="580" w:lineRule="exact"/>
        <w:ind w:left="640"/>
        <w:rPr>
          <w:rFonts w:ascii="黑体" w:eastAsia="黑体"/>
          <w:sz w:val="32"/>
          <w:szCs w:val="32"/>
        </w:rPr>
      </w:pPr>
      <w:r>
        <w:rPr>
          <w:rFonts w:hint="eastAsia" w:ascii="黑体" w:eastAsia="黑体"/>
          <w:sz w:val="32"/>
          <w:szCs w:val="32"/>
        </w:rPr>
        <w:t>一、部门职责</w:t>
      </w:r>
    </w:p>
    <w:p>
      <w:pPr>
        <w:spacing w:line="580" w:lineRule="exact"/>
        <w:ind w:left="640"/>
        <w:rPr>
          <w:rFonts w:ascii="黑体" w:eastAsia="黑体"/>
          <w:sz w:val="32"/>
          <w:szCs w:val="32"/>
        </w:rPr>
      </w:pPr>
      <w:r>
        <w:rPr>
          <w:rFonts w:hint="eastAsia" w:ascii="黑体" w:eastAsia="黑体"/>
          <w:sz w:val="32"/>
          <w:szCs w:val="32"/>
        </w:rPr>
        <w:t xml:space="preserve">二、机构设置 </w:t>
      </w:r>
    </w:p>
    <w:p>
      <w:pPr>
        <w:spacing w:line="580" w:lineRule="exact"/>
        <w:ind w:left="640"/>
        <w:rPr>
          <w:rFonts w:ascii="黑体" w:eastAsia="黑体"/>
          <w:sz w:val="32"/>
          <w:szCs w:val="32"/>
        </w:rPr>
      </w:pPr>
    </w:p>
    <w:p>
      <w:pPr>
        <w:spacing w:line="580" w:lineRule="exact"/>
        <w:rPr>
          <w:rFonts w:ascii="黑体" w:eastAsia="黑体"/>
          <w:sz w:val="36"/>
          <w:szCs w:val="36"/>
        </w:rPr>
      </w:pPr>
      <w:r>
        <w:rPr>
          <w:rFonts w:hint="eastAsia" w:ascii="黑体" w:eastAsia="黑体"/>
          <w:sz w:val="36"/>
          <w:szCs w:val="36"/>
        </w:rPr>
        <w:t>第二部分 2020年度部门决算表</w:t>
      </w:r>
    </w:p>
    <w:p>
      <w:pPr>
        <w:spacing w:line="580" w:lineRule="exact"/>
        <w:ind w:firstLine="640" w:firstLineChars="200"/>
        <w:rPr>
          <w:rFonts w:ascii="黑体" w:eastAsia="黑体"/>
          <w:sz w:val="32"/>
          <w:szCs w:val="32"/>
        </w:rPr>
      </w:pPr>
      <w:r>
        <w:rPr>
          <w:rFonts w:hint="eastAsia" w:ascii="黑体" w:eastAsia="黑体"/>
          <w:sz w:val="32"/>
          <w:szCs w:val="32"/>
        </w:rPr>
        <w:t>一、收入支出决算总表</w:t>
      </w:r>
    </w:p>
    <w:p>
      <w:pPr>
        <w:spacing w:line="580" w:lineRule="exact"/>
        <w:ind w:firstLine="640" w:firstLineChars="200"/>
        <w:rPr>
          <w:rFonts w:ascii="黑体" w:eastAsia="黑体"/>
          <w:sz w:val="32"/>
          <w:szCs w:val="32"/>
        </w:rPr>
      </w:pPr>
      <w:r>
        <w:rPr>
          <w:rFonts w:hint="eastAsia" w:ascii="黑体" w:eastAsia="黑体"/>
          <w:sz w:val="32"/>
          <w:szCs w:val="32"/>
        </w:rPr>
        <w:t>二、收入决算表</w:t>
      </w:r>
    </w:p>
    <w:p>
      <w:pPr>
        <w:spacing w:line="580" w:lineRule="exact"/>
        <w:ind w:firstLine="640" w:firstLineChars="200"/>
        <w:rPr>
          <w:rFonts w:ascii="黑体" w:eastAsia="黑体"/>
          <w:sz w:val="32"/>
          <w:szCs w:val="32"/>
        </w:rPr>
      </w:pPr>
      <w:r>
        <w:rPr>
          <w:rFonts w:hint="eastAsia" w:ascii="黑体" w:eastAsia="黑体"/>
          <w:sz w:val="32"/>
          <w:szCs w:val="32"/>
        </w:rPr>
        <w:t>三、支出决算表</w:t>
      </w:r>
    </w:p>
    <w:p>
      <w:pPr>
        <w:spacing w:line="580" w:lineRule="exact"/>
        <w:ind w:firstLine="640" w:firstLineChars="200"/>
        <w:rPr>
          <w:rFonts w:ascii="黑体" w:eastAsia="黑体"/>
          <w:sz w:val="32"/>
          <w:szCs w:val="32"/>
        </w:rPr>
      </w:pPr>
      <w:r>
        <w:rPr>
          <w:rFonts w:hint="eastAsia" w:ascii="黑体" w:eastAsia="黑体"/>
          <w:sz w:val="32"/>
          <w:szCs w:val="32"/>
        </w:rPr>
        <w:t>四、财政拨款收入支出决算总表</w:t>
      </w:r>
    </w:p>
    <w:p>
      <w:pPr>
        <w:spacing w:line="580" w:lineRule="exact"/>
        <w:ind w:firstLine="640" w:firstLineChars="200"/>
        <w:rPr>
          <w:rFonts w:ascii="黑体" w:eastAsia="黑体"/>
          <w:sz w:val="32"/>
          <w:szCs w:val="32"/>
        </w:rPr>
      </w:pPr>
      <w:r>
        <w:rPr>
          <w:rFonts w:hint="eastAsia" w:ascii="黑体" w:eastAsia="黑体"/>
          <w:sz w:val="32"/>
          <w:szCs w:val="32"/>
        </w:rPr>
        <w:t>五、一般公共预算财政拨款支出决算表</w:t>
      </w:r>
    </w:p>
    <w:p>
      <w:pPr>
        <w:spacing w:line="580" w:lineRule="exact"/>
        <w:ind w:firstLine="640" w:firstLineChars="200"/>
        <w:rPr>
          <w:rFonts w:ascii="黑体" w:eastAsia="黑体"/>
          <w:sz w:val="32"/>
          <w:szCs w:val="32"/>
        </w:rPr>
      </w:pPr>
      <w:r>
        <w:rPr>
          <w:rFonts w:hint="eastAsia" w:ascii="黑体" w:eastAsia="黑体"/>
          <w:sz w:val="32"/>
          <w:szCs w:val="32"/>
        </w:rPr>
        <w:t>六、一般公共预算财政拨款基本支出决算表</w:t>
      </w:r>
    </w:p>
    <w:p>
      <w:pPr>
        <w:spacing w:line="580" w:lineRule="exact"/>
        <w:ind w:firstLine="640" w:firstLineChars="200"/>
        <w:rPr>
          <w:rFonts w:ascii="黑体" w:eastAsia="黑体"/>
          <w:sz w:val="32"/>
          <w:szCs w:val="32"/>
        </w:rPr>
      </w:pPr>
      <w:r>
        <w:rPr>
          <w:rFonts w:hint="eastAsia" w:ascii="黑体" w:eastAsia="黑体"/>
          <w:sz w:val="32"/>
          <w:szCs w:val="32"/>
        </w:rPr>
        <w:t>七、一般公共预算财政拨款“三公”经费支出决算表</w:t>
      </w:r>
    </w:p>
    <w:p>
      <w:pPr>
        <w:spacing w:line="580" w:lineRule="exact"/>
        <w:ind w:firstLine="640" w:firstLineChars="200"/>
        <w:rPr>
          <w:rFonts w:ascii="黑体" w:eastAsia="黑体"/>
          <w:sz w:val="32"/>
          <w:szCs w:val="32"/>
        </w:rPr>
      </w:pPr>
      <w:r>
        <w:rPr>
          <w:rFonts w:hint="eastAsia" w:ascii="黑体" w:eastAsia="黑体"/>
          <w:sz w:val="32"/>
          <w:szCs w:val="32"/>
        </w:rPr>
        <w:t>八、政府性基金预算财政拨款收入支出决算表</w:t>
      </w:r>
    </w:p>
    <w:p>
      <w:pPr>
        <w:spacing w:line="580" w:lineRule="exact"/>
        <w:ind w:firstLine="640" w:firstLineChars="200"/>
        <w:rPr>
          <w:rFonts w:ascii="黑体" w:eastAsia="黑体"/>
          <w:sz w:val="32"/>
          <w:szCs w:val="32"/>
        </w:rPr>
      </w:pPr>
      <w:r>
        <w:rPr>
          <w:rFonts w:hint="eastAsia" w:ascii="黑体" w:eastAsia="黑体"/>
          <w:sz w:val="32"/>
          <w:szCs w:val="32"/>
        </w:rPr>
        <w:t>九、国有资本经营预算财政拨款支出决算表</w:t>
      </w:r>
    </w:p>
    <w:p>
      <w:pPr>
        <w:spacing w:line="580" w:lineRule="exact"/>
        <w:ind w:firstLine="640" w:firstLineChars="200"/>
        <w:rPr>
          <w:rFonts w:ascii="黑体" w:eastAsia="黑体"/>
          <w:sz w:val="32"/>
          <w:szCs w:val="32"/>
        </w:rPr>
      </w:pPr>
    </w:p>
    <w:p>
      <w:pPr>
        <w:spacing w:line="580" w:lineRule="exact"/>
        <w:ind w:left="1602" w:hanging="1602" w:hangingChars="445"/>
        <w:rPr>
          <w:rFonts w:ascii="黑体" w:eastAsia="黑体"/>
          <w:sz w:val="36"/>
          <w:szCs w:val="36"/>
        </w:rPr>
      </w:pPr>
      <w:r>
        <w:rPr>
          <w:rFonts w:hint="eastAsia" w:ascii="黑体" w:eastAsia="黑体"/>
          <w:sz w:val="36"/>
          <w:szCs w:val="36"/>
        </w:rPr>
        <w:t>第三部分 2020年度部门决算情况和重要事项说明</w:t>
      </w:r>
    </w:p>
    <w:p>
      <w:pPr>
        <w:spacing w:line="580" w:lineRule="exact"/>
        <w:ind w:left="1602" w:hanging="1602" w:hangingChars="445"/>
        <w:rPr>
          <w:rFonts w:ascii="黑体" w:eastAsia="黑体"/>
          <w:sz w:val="36"/>
          <w:szCs w:val="36"/>
        </w:rPr>
      </w:pPr>
    </w:p>
    <w:p>
      <w:pPr>
        <w:spacing w:line="580" w:lineRule="exact"/>
        <w:ind w:left="1602" w:hanging="1602" w:hangingChars="445"/>
        <w:rPr>
          <w:rFonts w:ascii="黑体" w:eastAsia="黑体"/>
          <w:sz w:val="36"/>
          <w:szCs w:val="36"/>
        </w:rPr>
      </w:pPr>
      <w:r>
        <w:rPr>
          <w:rFonts w:hint="eastAsia" w:ascii="黑体" w:eastAsia="黑体"/>
          <w:sz w:val="36"/>
          <w:szCs w:val="36"/>
        </w:rPr>
        <w:t>第四部分 名词解释</w:t>
      </w:r>
    </w:p>
    <w:p>
      <w:pPr>
        <w:spacing w:line="580" w:lineRule="exact"/>
        <w:ind w:left="1602" w:hanging="1602" w:hangingChars="445"/>
        <w:rPr>
          <w:rFonts w:ascii="黑体" w:eastAsia="黑体"/>
          <w:sz w:val="36"/>
          <w:szCs w:val="36"/>
        </w:rPr>
      </w:pPr>
    </w:p>
    <w:p>
      <w:pPr>
        <w:spacing w:line="580" w:lineRule="exact"/>
        <w:ind w:left="1602" w:hanging="1602" w:hangingChars="445"/>
        <w:rPr>
          <w:rFonts w:ascii="黑体" w:eastAsia="黑体"/>
          <w:sz w:val="36"/>
          <w:szCs w:val="36"/>
        </w:rPr>
      </w:pPr>
    </w:p>
    <w:p>
      <w:pPr>
        <w:ind w:left="1609" w:leftChars="766"/>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b/>
          <w:sz w:val="36"/>
          <w:szCs w:val="36"/>
        </w:rPr>
      </w:pPr>
    </w:p>
    <w:p>
      <w:pPr>
        <w:rPr>
          <w:rFonts w:ascii="黑体" w:eastAsia="黑体"/>
          <w:sz w:val="52"/>
          <w:szCs w:val="52"/>
        </w:rPr>
      </w:pPr>
      <w:r>
        <w:rPr>
          <w:rFonts w:hint="eastAsia" w:ascii="黑体" w:eastAsia="黑体"/>
          <w:sz w:val="52"/>
          <w:szCs w:val="52"/>
        </w:rPr>
        <w:t xml:space="preserve">第一部分 </w:t>
      </w:r>
    </w:p>
    <w:p>
      <w:pPr>
        <w:ind w:firstLine="1040" w:firstLineChars="200"/>
        <w:rPr>
          <w:rFonts w:ascii="黑体" w:eastAsia="黑体"/>
          <w:sz w:val="52"/>
          <w:szCs w:val="52"/>
        </w:rPr>
      </w:pPr>
    </w:p>
    <w:p>
      <w:pPr>
        <w:ind w:firstLine="1040" w:firstLineChars="200"/>
        <w:rPr>
          <w:rFonts w:ascii="黑体" w:eastAsia="黑体"/>
          <w:sz w:val="52"/>
          <w:szCs w:val="52"/>
        </w:rPr>
      </w:pPr>
    </w:p>
    <w:p>
      <w:pPr>
        <w:ind w:firstLine="1040" w:firstLineChars="200"/>
        <w:rPr>
          <w:rFonts w:ascii="黑体" w:eastAsia="黑体"/>
          <w:sz w:val="52"/>
          <w:szCs w:val="52"/>
        </w:rPr>
      </w:pPr>
    </w:p>
    <w:p>
      <w:pPr>
        <w:jc w:val="center"/>
        <w:rPr>
          <w:rFonts w:ascii="黑体" w:eastAsia="黑体"/>
          <w:sz w:val="52"/>
          <w:szCs w:val="52"/>
        </w:rPr>
      </w:pPr>
      <w:r>
        <w:rPr>
          <w:rFonts w:hint="eastAsia" w:ascii="黑体" w:eastAsia="黑体"/>
          <w:sz w:val="52"/>
          <w:szCs w:val="52"/>
        </w:rPr>
        <w:t>部门概况</w:t>
      </w: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snapToGrid w:val="0"/>
        <w:spacing w:line="300" w:lineRule="auto"/>
        <w:rPr>
          <w:rFonts w:hint="eastAsia" w:ascii="黑体" w:hAnsi="黑体" w:eastAsia="黑体"/>
          <w:b/>
          <w:sz w:val="32"/>
          <w:szCs w:val="32"/>
        </w:rPr>
      </w:pPr>
    </w:p>
    <w:p>
      <w:pPr>
        <w:snapToGrid w:val="0"/>
        <w:spacing w:line="300" w:lineRule="auto"/>
        <w:ind w:firstLine="630" w:firstLineChars="196"/>
        <w:rPr>
          <w:rFonts w:ascii="黑体" w:hAnsi="黑体" w:eastAsia="黑体"/>
          <w:b/>
          <w:sz w:val="32"/>
          <w:szCs w:val="32"/>
        </w:rPr>
      </w:pPr>
      <w:r>
        <w:rPr>
          <w:rFonts w:hint="eastAsia" w:ascii="黑体" w:hAnsi="黑体" w:eastAsia="黑体"/>
          <w:b/>
          <w:sz w:val="32"/>
          <w:szCs w:val="32"/>
        </w:rPr>
        <w:t>一、主要职能</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青岛市市北区人民法院是国家审判机关，依法独立行使审判权，对市北区人民代表大会及其常务委员会负责并报告工作，接受市北区人大及其常委会的监督。主要职责是：</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（一）依法审判法律规定由基层人民法院管辖的刑事、民事、行政等第一审案件。</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（二）依法审判由上级法院指定本院审判的刑事、民事、行政案件。</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（三）依照法律监督程序</w:t>
      </w:r>
      <w:r>
        <w:rPr>
          <w:rFonts w:hint="eastAsia" w:ascii="仿宋" w:hAnsi="仿宋" w:eastAsia="仿宋" w:cs="宋体"/>
          <w:kern w:val="0"/>
          <w:sz w:val="32"/>
          <w:szCs w:val="32"/>
        </w:rPr>
        <w:t>,</w:t>
      </w:r>
      <w:r>
        <w:rPr>
          <w:rFonts w:hint="eastAsia" w:ascii="仿宋" w:hAnsi="仿宋" w:eastAsia="仿宋" w:cs="宋体"/>
          <w:kern w:val="0"/>
          <w:sz w:val="32"/>
          <w:szCs w:val="32"/>
          <w:lang w:val="zh-CN"/>
        </w:rPr>
        <w:t>审判刑事、民事、行政等再审案件。</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（四）依法行使司法执行权和司法决定权。</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（五）依法决定国家赔偿。</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（六）依法执行上级法院指定和其他法院委托的各类案件。</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（七）指导基层人民法庭的审判工作。</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（八）调查研究审判工作中的法律政策问题及疑难问题，针对案件审理中发现的问题提出司法建议。</w:t>
      </w:r>
    </w:p>
    <w:p>
      <w:pPr>
        <w:autoSpaceDE w:val="0"/>
        <w:autoSpaceDN w:val="0"/>
        <w:adjustRightInd w:val="0"/>
        <w:spacing w:line="540" w:lineRule="exact"/>
        <w:ind w:firstLine="645"/>
        <w:jc w:val="left"/>
        <w:rPr>
          <w:rFonts w:ascii="仿宋" w:hAnsi="仿宋" w:eastAsia="仿宋" w:cs="宋体"/>
          <w:kern w:val="0"/>
          <w:sz w:val="32"/>
          <w:szCs w:val="32"/>
          <w:u w:val="single"/>
          <w:lang w:val="zh-CN"/>
        </w:rPr>
      </w:pPr>
      <w:r>
        <w:rPr>
          <w:rFonts w:hint="eastAsia" w:ascii="仿宋" w:hAnsi="仿宋" w:eastAsia="仿宋" w:cs="宋体"/>
          <w:kern w:val="0"/>
          <w:sz w:val="32"/>
          <w:szCs w:val="32"/>
          <w:lang w:val="zh-CN"/>
        </w:rPr>
        <w:t>（九）组织实施对本院法官和其他工作人员的思想政治教育、专业培训；按照干部管理权限管理法官和其他工作人员；协助主管部门管理本院的机构、编制工作；抓好本院的领导班子建设和队伍建设；负责本院的奖惩工作。</w:t>
      </w:r>
    </w:p>
    <w:p>
      <w:pPr>
        <w:autoSpaceDE w:val="0"/>
        <w:autoSpaceDN w:val="0"/>
        <w:adjustRightInd w:val="0"/>
        <w:spacing w:line="540" w:lineRule="exact"/>
        <w:ind w:firstLine="645"/>
        <w:jc w:val="left"/>
        <w:rPr>
          <w:rFonts w:ascii="仿宋" w:hAnsi="仿宋" w:eastAsia="仿宋" w:cs="宋体"/>
          <w:kern w:val="0"/>
          <w:sz w:val="32"/>
          <w:szCs w:val="32"/>
          <w:u w:val="single"/>
          <w:lang w:val="zh-CN"/>
        </w:rPr>
      </w:pPr>
      <w:r>
        <w:rPr>
          <w:rFonts w:hint="eastAsia" w:ascii="仿宋" w:hAnsi="仿宋" w:eastAsia="仿宋" w:cs="宋体"/>
          <w:kern w:val="0"/>
          <w:sz w:val="32"/>
          <w:szCs w:val="32"/>
          <w:lang w:val="zh-CN"/>
        </w:rPr>
        <w:t>（十）负责本院的有关经费、物资装备和档案管理等司法行政工作。</w:t>
      </w:r>
    </w:p>
    <w:p>
      <w:pPr>
        <w:autoSpaceDE w:val="0"/>
        <w:autoSpaceDN w:val="0"/>
        <w:adjustRightInd w:val="0"/>
        <w:spacing w:line="540" w:lineRule="exact"/>
        <w:ind w:firstLine="645"/>
        <w:jc w:val="left"/>
        <w:rPr>
          <w:rFonts w:ascii="仿宋" w:hAnsi="仿宋" w:eastAsia="仿宋" w:cs="宋体"/>
          <w:kern w:val="0"/>
          <w:sz w:val="32"/>
          <w:szCs w:val="32"/>
          <w:u w:val="single"/>
          <w:lang w:val="zh-CN"/>
        </w:rPr>
      </w:pPr>
      <w:r>
        <w:rPr>
          <w:rFonts w:hint="eastAsia" w:ascii="仿宋" w:hAnsi="仿宋" w:eastAsia="仿宋" w:cs="宋体"/>
          <w:kern w:val="0"/>
          <w:sz w:val="32"/>
          <w:szCs w:val="32"/>
          <w:lang w:val="zh-CN"/>
        </w:rPr>
        <w:t>（十一）负责本院的法制宣传、新闻报道工作。</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（十二）负责本院的监察工作。</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（十三）结合审判工作实际，参与社会治安综合治理。</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（十四）按照权限管理本院所属的事业单位。</w:t>
      </w:r>
    </w:p>
    <w:p>
      <w:pPr>
        <w:autoSpaceDE w:val="0"/>
        <w:autoSpaceDN w:val="0"/>
        <w:adjustRightInd w:val="0"/>
        <w:spacing w:line="540" w:lineRule="exact"/>
        <w:ind w:firstLine="645"/>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（十五）承办应由本院负责的其他工作。</w:t>
      </w:r>
    </w:p>
    <w:p>
      <w:pPr>
        <w:autoSpaceDE w:val="0"/>
        <w:autoSpaceDN w:val="0"/>
        <w:adjustRightInd w:val="0"/>
        <w:spacing w:line="540" w:lineRule="exact"/>
        <w:ind w:firstLine="640" w:firstLineChars="200"/>
        <w:jc w:val="left"/>
        <w:rPr>
          <w:rFonts w:ascii="黑体" w:eastAsia="黑体"/>
          <w:sz w:val="32"/>
          <w:szCs w:val="32"/>
        </w:rPr>
      </w:pPr>
      <w:r>
        <w:rPr>
          <w:rFonts w:hint="eastAsia" w:ascii="黑体" w:hAnsi="黑体" w:eastAsia="黑体" w:cs="宋体"/>
          <w:bCs/>
          <w:kern w:val="0"/>
          <w:sz w:val="32"/>
          <w:szCs w:val="32"/>
          <w:lang w:val="zh-CN"/>
        </w:rPr>
        <w:t>二、</w:t>
      </w:r>
      <w:r>
        <w:rPr>
          <w:rFonts w:hint="eastAsia" w:ascii="黑体" w:eastAsia="黑体"/>
          <w:sz w:val="32"/>
          <w:szCs w:val="32"/>
        </w:rPr>
        <w:t>机构设置</w:t>
      </w:r>
    </w:p>
    <w:p>
      <w:pPr>
        <w:autoSpaceDE w:val="0"/>
        <w:autoSpaceDN w:val="0"/>
        <w:adjustRightInd w:val="0"/>
        <w:spacing w:line="540" w:lineRule="exact"/>
        <w:ind w:firstLine="640" w:firstLineChars="200"/>
        <w:jc w:val="left"/>
        <w:rPr>
          <w:rFonts w:ascii="黑体" w:hAnsi="黑体" w:eastAsia="黑体" w:cs="宋体"/>
          <w:bCs/>
          <w:kern w:val="0"/>
          <w:sz w:val="32"/>
          <w:szCs w:val="32"/>
          <w:lang w:val="zh-CN"/>
        </w:rPr>
      </w:pPr>
      <w:r>
        <w:rPr>
          <w:rFonts w:hint="eastAsia" w:ascii="黑体" w:eastAsia="黑体"/>
          <w:sz w:val="32"/>
          <w:szCs w:val="32"/>
        </w:rPr>
        <w:t>（一）</w:t>
      </w:r>
      <w:r>
        <w:rPr>
          <w:rFonts w:hint="eastAsia" w:ascii="黑体" w:hAnsi="黑体" w:eastAsia="黑体" w:cs="宋体"/>
          <w:bCs/>
          <w:kern w:val="0"/>
          <w:sz w:val="32"/>
          <w:szCs w:val="32"/>
          <w:lang w:val="zh-CN"/>
        </w:rPr>
        <w:t>内设机构</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我院现有中央政法专项编制253名，内设机构优化整合为12个。设置司法行政机构2个，审判辅助机构1个，审判业务机构9个。</w:t>
      </w:r>
    </w:p>
    <w:p>
      <w:pPr>
        <w:spacing w:line="60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1、综合办公室</w:t>
      </w:r>
    </w:p>
    <w:p>
      <w:pPr>
        <w:spacing w:line="580" w:lineRule="exact"/>
        <w:ind w:firstLine="640" w:firstLineChars="200"/>
        <w:rPr>
          <w:rFonts w:ascii="仿宋" w:hAnsi="仿宋" w:eastAsia="仿宋"/>
          <w:sz w:val="32"/>
          <w:szCs w:val="32"/>
        </w:rPr>
      </w:pPr>
      <w:r>
        <w:rPr>
          <w:rFonts w:hint="eastAsia" w:ascii="仿宋" w:hAnsi="仿宋" w:eastAsia="仿宋"/>
          <w:sz w:val="32"/>
        </w:rPr>
        <w:t>主要职责：</w:t>
      </w:r>
      <w:r>
        <w:rPr>
          <w:rFonts w:hint="eastAsia" w:ascii="仿宋" w:hAnsi="仿宋" w:eastAsia="仿宋"/>
          <w:sz w:val="32"/>
          <w:szCs w:val="32"/>
        </w:rPr>
        <w:t>协助院领导组织、协调、处理日常工作；负责院务会和院长办公会等重要会议的组织安排及决定事项的督办；负责人大代表、政协委员、执法监督员的联络工作，督办人大代表、政协委员建议提案；负责文秘、机要、保密、档案、图书等工作；负责微机网络等信息化管理和使用；负责外事活动安排和对外接待工作；负责专项物资装备的管理及分配；负责诉讼费的收缴、管理；管理各项经费和国有资产，监督直属事业单位的财产和国有资产，</w:t>
      </w:r>
      <w:r>
        <w:rPr>
          <w:rFonts w:hint="eastAsia" w:ascii="仿宋" w:hAnsi="仿宋" w:eastAsia="仿宋"/>
          <w:color w:val="000000"/>
          <w:sz w:val="32"/>
          <w:szCs w:val="32"/>
        </w:rPr>
        <w:t>拟定本院基础建设规划和计划并组织实施</w:t>
      </w:r>
      <w:r>
        <w:rPr>
          <w:rFonts w:hint="eastAsia" w:ascii="仿宋" w:hAnsi="仿宋" w:eastAsia="仿宋"/>
          <w:sz w:val="32"/>
          <w:szCs w:val="32"/>
        </w:rPr>
        <w:t>。</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2、政治部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负责本院的思想政治工作，协助院党组抓好党的建设工作；负责组织人事工作；负责法官等级和法警警衔评定与晋升工作；负责教育培训工作，制订并实施法官培训规划；负责干警的工作考核、表彰和评先创优工作；负责人民陪审员管理工作；负责干警的晋职晋级和工资调整;负责老干部工作；负责法官协会日常管理与协调工作。</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3、立案庭（诉讼服务中心）</w:t>
      </w:r>
    </w:p>
    <w:p>
      <w:pPr>
        <w:spacing w:line="560" w:lineRule="exact"/>
        <w:ind w:left="640"/>
        <w:rPr>
          <w:rFonts w:ascii="仿宋" w:hAnsi="仿宋" w:eastAsia="仿宋"/>
          <w:sz w:val="32"/>
        </w:rPr>
      </w:pPr>
      <w:r>
        <w:rPr>
          <w:rFonts w:hint="eastAsia" w:ascii="仿宋" w:hAnsi="仿宋" w:eastAsia="仿宋"/>
          <w:sz w:val="32"/>
        </w:rPr>
        <w:t>整合立案一庭职能，设立立案庭（诉讼服务中心）。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主要职责：负责对本院依法受理的各类案件进行登记立案、排期、送达和审判流程管理；负责诉前调解、诉前保全、案件速裁等工作；负责与提供诉讼服务相关的其他工作；负责诉调对接工作。</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4、申诉信访庭</w:t>
      </w:r>
    </w:p>
    <w:p>
      <w:pPr>
        <w:spacing w:line="580" w:lineRule="exact"/>
        <w:ind w:left="640"/>
        <w:rPr>
          <w:rFonts w:ascii="仿宋" w:hAnsi="仿宋" w:eastAsia="仿宋"/>
          <w:sz w:val="32"/>
          <w:szCs w:val="32"/>
        </w:rPr>
      </w:pPr>
      <w:r>
        <w:rPr>
          <w:rFonts w:hint="eastAsia" w:ascii="仿宋" w:hAnsi="仿宋" w:eastAsia="仿宋"/>
          <w:sz w:val="32"/>
          <w:szCs w:val="32"/>
        </w:rPr>
        <w:t>整合立案二庭、审判监督庭职能，设立申诉信访庭。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主要职责：对不服本院的生效裁判提出的各类申诉以及再审申请进行审查；审判本院各类再审案件；负责本院的信访工作。</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5、刑事审判庭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主要职责：依法审理由本院管辖的一审刑事公诉案件、刑事自诉案件；审理上级法院指定管辖的刑事案件；负责未成年人犯罪案件和涉及未成年人权益保护案件。</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6、民事审判一庭</w:t>
      </w:r>
    </w:p>
    <w:p>
      <w:pPr>
        <w:spacing w:line="600" w:lineRule="exact"/>
        <w:ind w:left="640"/>
        <w:rPr>
          <w:rFonts w:ascii="仿宋" w:hAnsi="仿宋" w:eastAsia="仿宋"/>
          <w:sz w:val="32"/>
          <w:szCs w:val="32"/>
        </w:rPr>
      </w:pPr>
      <w:r>
        <w:rPr>
          <w:rFonts w:hint="eastAsia" w:ascii="仿宋" w:hAnsi="仿宋" w:eastAsia="仿宋"/>
          <w:sz w:val="32"/>
          <w:szCs w:val="32"/>
        </w:rPr>
        <w:t>整合民事审判第一庭、民事审判第五庭的职能，设立民</w:t>
      </w:r>
    </w:p>
    <w:p>
      <w:pPr>
        <w:spacing w:line="600" w:lineRule="exact"/>
        <w:rPr>
          <w:rFonts w:ascii="仿宋" w:hAnsi="仿宋" w:eastAsia="仿宋"/>
          <w:sz w:val="32"/>
          <w:szCs w:val="32"/>
        </w:rPr>
      </w:pPr>
      <w:r>
        <w:rPr>
          <w:rFonts w:hint="eastAsia" w:ascii="仿宋" w:hAnsi="仿宋" w:eastAsia="仿宋"/>
          <w:sz w:val="32"/>
          <w:szCs w:val="32"/>
        </w:rPr>
        <w:t>事审判一庭。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主要职责：依法审判第一审婚姻家庭、房地产、劳动争议案件;</w:t>
      </w:r>
      <w:r>
        <w:rPr>
          <w:rFonts w:hint="eastAsia" w:ascii="仿宋" w:hAnsi="仿宋" w:eastAsia="仿宋"/>
          <w:color w:val="000000"/>
          <w:sz w:val="32"/>
          <w:szCs w:val="32"/>
        </w:rPr>
        <w:t>指导人民法庭民事审判工作。</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7、民事审判二庭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整合民事审判第二庭、三庭的职能，设立民事审判二庭。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主要职责：依法审判由本院管辖的第一审合同、票据、知识产权、企业申请破产、重整、和解与清算、证券、票据纠纷、债权债务等纠纷案件。</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8、民事审判三庭</w:t>
      </w:r>
    </w:p>
    <w:p>
      <w:pPr>
        <w:spacing w:line="600" w:lineRule="exact"/>
        <w:ind w:left="640"/>
        <w:rPr>
          <w:rFonts w:ascii="仿宋" w:hAnsi="仿宋" w:eastAsia="仿宋"/>
          <w:sz w:val="32"/>
          <w:szCs w:val="32"/>
        </w:rPr>
      </w:pPr>
      <w:r>
        <w:rPr>
          <w:rFonts w:hint="eastAsia" w:ascii="仿宋" w:hAnsi="仿宋" w:eastAsia="仿宋"/>
          <w:sz w:val="32"/>
          <w:szCs w:val="32"/>
        </w:rPr>
        <w:t>整合民事审判第四庭的职能，设立民事审判三庭。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主要职责：依法审判第一审医疗、交通事故赔偿和其他人身权、损害赔偿、特殊侵权等纠纷案件。</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9、行政审判庭（综合审判庭）</w:t>
      </w:r>
    </w:p>
    <w:p>
      <w:pPr>
        <w:spacing w:line="600" w:lineRule="exact"/>
        <w:ind w:left="640"/>
        <w:rPr>
          <w:rFonts w:ascii="仿宋" w:hAnsi="仿宋" w:eastAsia="仿宋"/>
          <w:sz w:val="32"/>
          <w:szCs w:val="32"/>
        </w:rPr>
      </w:pPr>
      <w:r>
        <w:rPr>
          <w:rFonts w:hint="eastAsia" w:ascii="仿宋" w:hAnsi="仿宋" w:eastAsia="仿宋"/>
          <w:sz w:val="32"/>
          <w:szCs w:val="32"/>
        </w:rPr>
        <w:t>整合行政审判庭、赔偿办的职能，设立行政审判庭（综</w:t>
      </w:r>
    </w:p>
    <w:p>
      <w:pPr>
        <w:spacing w:line="600" w:lineRule="exact"/>
        <w:rPr>
          <w:rFonts w:ascii="仿宋" w:hAnsi="仿宋" w:eastAsia="仿宋"/>
          <w:sz w:val="32"/>
          <w:szCs w:val="32"/>
        </w:rPr>
      </w:pPr>
      <w:r>
        <w:rPr>
          <w:rFonts w:hint="eastAsia" w:ascii="仿宋" w:hAnsi="仿宋" w:eastAsia="仿宋"/>
          <w:sz w:val="32"/>
          <w:szCs w:val="32"/>
        </w:rPr>
        <w:t>合审判庭）。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主要职责：依法审判第一审行政案件;审查行政机关申请人民法院强制执行案件;办理国家赔偿案件;负责司法救助工作；提出有关行政审判司法建议,办理其他有关的行政审判工作事宜。</w:t>
      </w:r>
    </w:p>
    <w:p>
      <w:pPr>
        <w:spacing w:line="58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10、执行局</w:t>
      </w:r>
    </w:p>
    <w:p>
      <w:pPr>
        <w:spacing w:line="600" w:lineRule="exact"/>
        <w:ind w:left="640"/>
        <w:rPr>
          <w:rFonts w:ascii="仿宋" w:hAnsi="仿宋" w:eastAsia="仿宋"/>
          <w:sz w:val="32"/>
          <w:szCs w:val="32"/>
        </w:rPr>
      </w:pPr>
      <w:r>
        <w:rPr>
          <w:rFonts w:hint="eastAsia" w:ascii="仿宋" w:hAnsi="仿宋" w:eastAsia="仿宋"/>
          <w:sz w:val="32"/>
          <w:szCs w:val="32"/>
        </w:rPr>
        <w:t>整合执行一庭、执行二庭的职能，设立执行局。</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负责执行人民法院第一审案件的生效判决、裁定及调解协议中关于财产的决定；执行法律规定由人民法院执行的其他法律文书；执行上级法院指定执行和外地法院委托执行的案件；负责执行异议案件；负责执行案件和执行信访案件的统计、报表和登记、转办等工作；负责执行信息系统管理工作等。</w:t>
      </w:r>
      <w:r>
        <w:rPr>
          <w:rFonts w:ascii="仿宋" w:hAnsi="仿宋" w:eastAsia="仿宋"/>
          <w:sz w:val="32"/>
          <w:szCs w:val="32"/>
        </w:rPr>
        <w:t xml:space="preserve"> </w:t>
      </w:r>
    </w:p>
    <w:p>
      <w:pPr>
        <w:spacing w:line="580" w:lineRule="exact"/>
        <w:ind w:firstLine="641" w:firstLineChars="200"/>
        <w:rPr>
          <w:rFonts w:ascii="华文楷体" w:hAnsi="华文楷体" w:eastAsia="华文楷体"/>
          <w:b/>
          <w:sz w:val="32"/>
          <w:szCs w:val="32"/>
        </w:rPr>
      </w:pPr>
      <w:r>
        <w:rPr>
          <w:rFonts w:hint="eastAsia" w:ascii="华文楷体" w:hAnsi="华文楷体" w:eastAsia="华文楷体"/>
          <w:b/>
          <w:sz w:val="32"/>
          <w:szCs w:val="32"/>
        </w:rPr>
        <w:t>11、审判管理办公室（研究室）</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整合研究室、审判管理办公室的职能，设立审判管理办公室（研究室）。</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主要职责：办理审判委员会会务；负责组织调查研究，总结推广典型经验；承办适用法律政策问题的请示或解答；负责编写综合信息，起草重要的综合性文件、讲话、报告；研究和征集对地方性法规、规章草案的意见；负责司法统计与分析。</w:t>
      </w:r>
    </w:p>
    <w:p>
      <w:pPr>
        <w:spacing w:line="580" w:lineRule="exact"/>
        <w:ind w:firstLine="641" w:firstLineChars="200"/>
        <w:rPr>
          <w:rFonts w:ascii="华文楷体" w:hAnsi="华文楷体" w:eastAsia="华文楷体" w:cs="楷体"/>
          <w:b/>
          <w:color w:val="000000"/>
          <w:sz w:val="32"/>
          <w:szCs w:val="32"/>
        </w:rPr>
      </w:pPr>
      <w:r>
        <w:rPr>
          <w:rFonts w:hint="eastAsia" w:ascii="华文楷体" w:hAnsi="华文楷体" w:eastAsia="华文楷体" w:cs="楷体"/>
          <w:b/>
          <w:color w:val="000000"/>
          <w:sz w:val="32"/>
          <w:szCs w:val="32"/>
        </w:rPr>
        <w:t>12、</w:t>
      </w:r>
      <w:r>
        <w:rPr>
          <w:rFonts w:hint="eastAsia" w:ascii="华文楷体" w:hAnsi="华文楷体" w:eastAsia="华文楷体" w:cs="楷体"/>
          <w:b/>
          <w:sz w:val="32"/>
          <w:szCs w:val="32"/>
        </w:rPr>
        <w:t xml:space="preserve">司法警察大队 </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主要职责：负责警卫法庭、押解、看管人犯，协助和配合审判庭和执行局有关执行工作；负责维护院机关的秩序及安全保卫等工作。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机关党委。负责本院机关及所属事业单位的党群工作。</w:t>
      </w:r>
    </w:p>
    <w:p>
      <w:pPr>
        <w:spacing w:line="600" w:lineRule="exact"/>
        <w:ind w:firstLine="640" w:firstLineChars="200"/>
        <w:rPr>
          <w:rFonts w:ascii="仿宋" w:hAnsi="仿宋" w:eastAsia="仿宋"/>
          <w:sz w:val="32"/>
        </w:rPr>
      </w:pPr>
      <w:r>
        <w:rPr>
          <w:rFonts w:hint="eastAsia" w:ascii="仿宋" w:hAnsi="仿宋" w:eastAsia="仿宋"/>
          <w:sz w:val="32"/>
          <w:szCs w:val="32"/>
        </w:rPr>
        <w:t>此外，</w:t>
      </w:r>
      <w:r>
        <w:rPr>
          <w:rFonts w:hint="eastAsia" w:ascii="仿宋" w:hAnsi="仿宋" w:eastAsia="仿宋"/>
          <w:sz w:val="32"/>
        </w:rPr>
        <w:t>纪检监察机构按照中央有关规定设置。</w:t>
      </w:r>
    </w:p>
    <w:p>
      <w:pPr>
        <w:autoSpaceDE w:val="0"/>
        <w:autoSpaceDN w:val="0"/>
        <w:adjustRightInd w:val="0"/>
        <w:spacing w:line="540" w:lineRule="exact"/>
        <w:ind w:firstLine="640" w:firstLineChars="200"/>
        <w:jc w:val="left"/>
        <w:rPr>
          <w:rFonts w:ascii="黑体" w:hAnsi="黑体" w:eastAsia="黑体" w:cs="宋体"/>
          <w:bCs/>
          <w:kern w:val="0"/>
          <w:sz w:val="32"/>
          <w:szCs w:val="32"/>
          <w:lang w:val="zh-CN"/>
        </w:rPr>
      </w:pPr>
      <w:r>
        <w:rPr>
          <w:rFonts w:hint="eastAsia" w:ascii="黑体" w:hAnsi="黑体" w:eastAsia="黑体" w:cs="宋体"/>
          <w:bCs/>
          <w:kern w:val="0"/>
          <w:sz w:val="32"/>
          <w:szCs w:val="32"/>
          <w:lang w:val="zh-CN"/>
        </w:rPr>
        <w:t>（二）派出机构</w:t>
      </w:r>
    </w:p>
    <w:p>
      <w:pPr>
        <w:ind w:firstLine="640" w:firstLineChars="200"/>
        <w:rPr>
          <w:rFonts w:ascii="仿宋" w:hAnsi="仿宋" w:eastAsia="仿宋"/>
          <w:sz w:val="32"/>
          <w:szCs w:val="32"/>
        </w:rPr>
      </w:pPr>
      <w:r>
        <w:rPr>
          <w:rFonts w:hint="eastAsia" w:ascii="仿宋" w:hAnsi="仿宋" w:eastAsia="仿宋"/>
          <w:sz w:val="32"/>
          <w:szCs w:val="32"/>
        </w:rPr>
        <w:t>按照有关规定，</w:t>
      </w:r>
      <w:r>
        <w:rPr>
          <w:rFonts w:hint="eastAsia" w:ascii="仿宋" w:hAnsi="仿宋" w:eastAsia="仿宋"/>
          <w:sz w:val="32"/>
        </w:rPr>
        <w:t>派出人民法庭不纳入内设机构改革范围。</w:t>
      </w:r>
      <w:r>
        <w:rPr>
          <w:rFonts w:hint="eastAsia" w:ascii="仿宋" w:hAnsi="仿宋" w:eastAsia="仿宋"/>
          <w:sz w:val="32"/>
          <w:szCs w:val="32"/>
        </w:rPr>
        <w:t>设置青岛市市北区人民法院海琴人民法庭、青岛市市北区人民法院海云人民法庭、青岛市市北区人民法院延安路人民法庭、青岛市市北区人民法院浮山新区人民法庭、青岛市市北区人民法院水清人民法庭、青岛市市北区人民法院海伦人民法庭、青岛市市北区人民法院双山人民法庭、青岛市市北区人民法院台东人民法庭、青岛市市北区人民法院中央商务区人民法庭、青岛市市北区人民法院滨海人民法庭等10个派出机构。</w:t>
      </w:r>
    </w:p>
    <w:p>
      <w:pPr>
        <w:snapToGrid w:val="0"/>
        <w:ind w:firstLine="645"/>
        <w:rPr>
          <w:rFonts w:ascii="仿宋" w:hAnsi="仿宋" w:eastAsia="仿宋"/>
          <w:sz w:val="32"/>
          <w:szCs w:val="32"/>
        </w:rPr>
      </w:pPr>
    </w:p>
    <w:p>
      <w:pPr>
        <w:snapToGrid w:val="0"/>
        <w:ind w:firstLine="645"/>
        <w:rPr>
          <w:rFonts w:ascii="仿宋" w:hAnsi="仿宋" w:eastAsia="仿宋"/>
          <w:sz w:val="32"/>
          <w:szCs w:val="32"/>
        </w:rPr>
      </w:pPr>
      <w:r>
        <w:rPr>
          <w:rFonts w:hint="eastAsia" w:ascii="仿宋" w:hAnsi="仿宋" w:eastAsia="仿宋"/>
          <w:sz w:val="32"/>
          <w:szCs w:val="32"/>
        </w:rPr>
        <w:t>主要职责：依法审判本地区的第一审民事案件；参与本地区的社会治安工作及突发事件的处理；搞好本地区的法制宣传教育；负责指导本地区的人民调解委员会的工作；承办本院及上级法院交办的其他事项。</w:t>
      </w:r>
    </w:p>
    <w:p>
      <w:pPr>
        <w:spacing w:line="580" w:lineRule="exact"/>
        <w:ind w:firstLine="643" w:firstLineChars="200"/>
        <w:rPr>
          <w:rFonts w:ascii="黑体" w:hAnsi="黑体" w:eastAsia="黑体"/>
          <w:b/>
          <w:sz w:val="32"/>
          <w:szCs w:val="32"/>
        </w:rPr>
      </w:pPr>
      <w:r>
        <w:rPr>
          <w:rFonts w:hint="eastAsia" w:ascii="黑体" w:hAnsi="黑体" w:eastAsia="黑体"/>
          <w:b/>
          <w:sz w:val="32"/>
          <w:szCs w:val="32"/>
        </w:rPr>
        <w:t>(三)下属事业单位</w:t>
      </w:r>
    </w:p>
    <w:p>
      <w:pPr>
        <w:pStyle w:val="5"/>
        <w:spacing w:line="408" w:lineRule="auto"/>
        <w:ind w:firstLine="640" w:firstLineChars="200"/>
        <w:rPr>
          <w:rFonts w:ascii="仿宋" w:hAnsi="仿宋" w:eastAsia="仿宋"/>
          <w:sz w:val="32"/>
          <w:szCs w:val="32"/>
        </w:rPr>
      </w:pPr>
      <w:r>
        <w:rPr>
          <w:rFonts w:hint="eastAsia" w:ascii="仿宋" w:hAnsi="仿宋" w:eastAsia="仿宋"/>
          <w:sz w:val="32"/>
          <w:szCs w:val="32"/>
        </w:rPr>
        <w:t>1、青岛市市北区人民法院机关服务中心，系青岛市市北区人民法院下属全额拨款事业单位。主要职能是为法院机关后勤工作提供保障，除其人员经费及零星手续费开支外，其他经费项目由青岛市市北区人民法院列支。该单位财务实行独立核算，单独编制部门预、决算。</w:t>
      </w:r>
    </w:p>
    <w:p>
      <w:pPr>
        <w:spacing w:line="580" w:lineRule="exact"/>
        <w:ind w:firstLine="640" w:firstLineChars="200"/>
        <w:rPr>
          <w:rFonts w:ascii="仿宋_GB2312" w:hAnsi="宋体" w:eastAsia="仿宋_GB2312" w:cs="Courier New"/>
          <w:sz w:val="32"/>
          <w:szCs w:val="32"/>
        </w:rPr>
      </w:pPr>
      <w:r>
        <w:rPr>
          <w:rFonts w:hint="eastAsia" w:ascii="仿宋" w:hAnsi="仿宋" w:eastAsia="仿宋"/>
          <w:sz w:val="32"/>
          <w:szCs w:val="32"/>
        </w:rPr>
        <w:t>2、青岛市市北区人民法院司法鉴定委托管理中心系青岛市市北区人民法院下属经费自理事业单位，其主要职责是负责对外委托鉴定、评估、审计、拍卖。其经费项目由青岛市市北区人民法院列支。该单位财务不实行独立核算，不单独编制部门预、决算。</w:t>
      </w: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第二部分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ind w:left="1041" w:leftChars="372" w:hanging="260" w:hangingChars="50"/>
        <w:jc w:val="center"/>
        <w:rPr>
          <w:rFonts w:ascii="黑体" w:eastAsia="黑体"/>
          <w:sz w:val="52"/>
          <w:szCs w:val="52"/>
        </w:rPr>
      </w:pPr>
      <w:r>
        <w:rPr>
          <w:rFonts w:hint="eastAsia" w:ascii="黑体" w:eastAsia="黑体"/>
          <w:sz w:val="52"/>
          <w:szCs w:val="52"/>
        </w:rPr>
        <w:t>2020年度部门决算表</w:t>
      </w:r>
    </w:p>
    <w:p>
      <w:pPr>
        <w:ind w:left="1041" w:leftChars="372" w:hanging="260" w:hangingChars="50"/>
        <w:jc w:val="center"/>
        <w:rPr>
          <w:rFonts w:ascii="黑体" w:eastAsia="黑体"/>
          <w:sz w:val="52"/>
          <w:szCs w:val="52"/>
        </w:rPr>
      </w:pPr>
    </w:p>
    <w:p>
      <w:pPr>
        <w:rPr>
          <w:rFonts w:ascii="黑体" w:eastAsia="黑体"/>
          <w:b/>
          <w:sz w:val="30"/>
          <w:szCs w:val="30"/>
        </w:rPr>
      </w:pPr>
    </w:p>
    <w:p>
      <w:pPr>
        <w:spacing w:line="580" w:lineRule="exact"/>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tbl>
      <w:tblPr>
        <w:tblStyle w:val="8"/>
        <w:tblW w:w="10607" w:type="dxa"/>
        <w:tblInd w:w="-626" w:type="dxa"/>
        <w:tblLayout w:type="fixed"/>
        <w:tblCellMar>
          <w:top w:w="0" w:type="dxa"/>
          <w:left w:w="108" w:type="dxa"/>
          <w:bottom w:w="0" w:type="dxa"/>
          <w:right w:w="108" w:type="dxa"/>
        </w:tblCellMar>
      </w:tblPr>
      <w:tblGrid>
        <w:gridCol w:w="3202"/>
        <w:gridCol w:w="451"/>
        <w:gridCol w:w="1616"/>
        <w:gridCol w:w="3271"/>
        <w:gridCol w:w="451"/>
        <w:gridCol w:w="1616"/>
      </w:tblGrid>
      <w:tr>
        <w:tblPrEx>
          <w:tblLayout w:type="fixed"/>
          <w:tblCellMar>
            <w:top w:w="0" w:type="dxa"/>
            <w:left w:w="108" w:type="dxa"/>
            <w:bottom w:w="0" w:type="dxa"/>
            <w:right w:w="108" w:type="dxa"/>
          </w:tblCellMar>
        </w:tblPrEx>
        <w:trPr>
          <w:trHeight w:val="375" w:hRule="atLeast"/>
        </w:trPr>
        <w:tc>
          <w:tcPr>
            <w:tcW w:w="10607" w:type="dxa"/>
            <w:gridSpan w:val="6"/>
            <w:tcBorders>
              <w:top w:val="nil"/>
            </w:tcBorders>
            <w:shd w:val="clear" w:color="000000" w:fill="FFFFFF"/>
            <w:vAlign w:val="center"/>
          </w:tcPr>
          <w:p>
            <w:pPr>
              <w:widowControl/>
              <w:jc w:val="center"/>
              <w:rPr>
                <w:rFonts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收入支出决算表</w:t>
            </w:r>
          </w:p>
        </w:tc>
      </w:tr>
      <w:tr>
        <w:tblPrEx>
          <w:tblLayout w:type="fixed"/>
          <w:tblCellMar>
            <w:top w:w="0" w:type="dxa"/>
            <w:left w:w="108" w:type="dxa"/>
            <w:bottom w:w="0" w:type="dxa"/>
            <w:right w:w="108" w:type="dxa"/>
          </w:tblCellMar>
        </w:tblPrEx>
        <w:trPr>
          <w:trHeight w:val="300" w:hRule="atLeast"/>
        </w:trPr>
        <w:tc>
          <w:tcPr>
            <w:tcW w:w="10607" w:type="dxa"/>
            <w:gridSpan w:val="6"/>
            <w:tcBorders>
              <w:top w:val="nil"/>
            </w:tcBorders>
            <w:shd w:val="clear" w:color="000000" w:fill="FFFFFF"/>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公开01表</w:t>
            </w:r>
          </w:p>
        </w:tc>
      </w:tr>
      <w:tr>
        <w:tblPrEx>
          <w:tblLayout w:type="fixed"/>
          <w:tblCellMar>
            <w:top w:w="0" w:type="dxa"/>
            <w:left w:w="108" w:type="dxa"/>
            <w:bottom w:w="0" w:type="dxa"/>
            <w:right w:w="108" w:type="dxa"/>
          </w:tblCellMar>
        </w:tblPrEx>
        <w:trPr>
          <w:trHeight w:val="300" w:hRule="atLeast"/>
        </w:trPr>
        <w:tc>
          <w:tcPr>
            <w:tcW w:w="10607" w:type="dxa"/>
            <w:gridSpan w:val="6"/>
            <w:tcBorders>
              <w:top w:val="nil"/>
              <w:bottom w:val="single" w:color="auto" w:sz="4" w:space="0"/>
            </w:tcBorders>
            <w:shd w:val="clear" w:color="000000" w:fill="FFFFFF"/>
            <w:vAlign w:val="center"/>
          </w:tcPr>
          <w:p>
            <w:pPr>
              <w:widowControl/>
              <w:jc w:val="center"/>
              <w:rPr>
                <w:rFonts w:ascii="宋体" w:hAnsi="宋体" w:cs="宋体"/>
                <w:color w:val="000000"/>
                <w:kern w:val="0"/>
                <w:sz w:val="24"/>
              </w:rPr>
            </w:pPr>
            <w:r>
              <w:rPr>
                <w:rFonts w:hint="eastAsia" w:ascii="宋体" w:hAnsi="宋体" w:cs="宋体"/>
                <w:color w:val="000000"/>
                <w:kern w:val="0"/>
                <w:sz w:val="22"/>
                <w:szCs w:val="22"/>
              </w:rPr>
              <w:t xml:space="preserve">部门：青岛市市北区人民法院(汇总）                </w:t>
            </w:r>
            <w:r>
              <w:rPr>
                <w:rFonts w:hint="eastAsia" w:ascii="宋体" w:hAnsi="宋体" w:cs="宋体"/>
                <w:color w:val="000000"/>
                <w:kern w:val="0"/>
                <w:sz w:val="24"/>
              </w:rPr>
              <w:t xml:space="preserve">2020年度                  </w:t>
            </w:r>
            <w:r>
              <w:rPr>
                <w:rFonts w:hint="eastAsia" w:ascii="宋体" w:hAnsi="宋体" w:cs="宋体"/>
                <w:color w:val="000000"/>
                <w:kern w:val="0"/>
                <w:sz w:val="22"/>
                <w:szCs w:val="22"/>
              </w:rPr>
              <w:t>金额单位：元</w:t>
            </w:r>
          </w:p>
        </w:tc>
      </w:tr>
      <w:tr>
        <w:tblPrEx>
          <w:tblLayout w:type="fixed"/>
          <w:tblCellMar>
            <w:top w:w="0" w:type="dxa"/>
            <w:left w:w="108" w:type="dxa"/>
            <w:bottom w:w="0" w:type="dxa"/>
            <w:right w:w="108" w:type="dxa"/>
          </w:tblCellMar>
        </w:tblPrEx>
        <w:trPr>
          <w:trHeight w:val="300" w:hRule="atLeast"/>
        </w:trPr>
        <w:tc>
          <w:tcPr>
            <w:tcW w:w="526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收入</w:t>
            </w:r>
          </w:p>
        </w:tc>
        <w:tc>
          <w:tcPr>
            <w:tcW w:w="5338"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支出</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6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c>
          <w:tcPr>
            <w:tcW w:w="32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6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栏次</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16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2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栏次</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16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一、一般公共预算财政拨款收入</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100,366,581.93</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二、政府性基金预算财政拨款收入</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二、外交支出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三、国有资本经营预算财政拨款收入</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三、国防支出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四、上级补助收入</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四、公共安全支出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97,241,165.31</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五、事业收入</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五、教育支出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六、经营收入</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六、科学技术支出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七、附属单位上缴收入</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七、文化旅游体育与传媒支出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八、其他收入</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八、社会保障和就业支出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3,806,777.12</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九、卫生健康支出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十、节能环保支出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十一、城乡社区支出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十二、农林水支出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十三、交通运输支出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十四、资源勘探工业信息等支出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十五、商业服务业等支出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十六、金融支出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十七、援助其他地区支出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十八、自然资源海洋气象等支出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十九、住房保障支出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二十、粮油物资储备支出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二十一、国有资本经营预算支出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二十二、灾害防治及应急管理支出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二十三、其他支出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二十四、债务还本支出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二十五、债务付息支出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二十六、抗疫特别国债安排的支出</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本年收入合计</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100,366,581.93</w:t>
            </w:r>
          </w:p>
        </w:tc>
        <w:tc>
          <w:tcPr>
            <w:tcW w:w="32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101,047,942.43</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使用非财政拨款结余</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结余分配</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年初结转和结余</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18,573,286.43</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年末结转和结余</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17,891,925.93</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161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320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总计</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118,939,868.36</w:t>
            </w:r>
          </w:p>
        </w:tc>
        <w:tc>
          <w:tcPr>
            <w:tcW w:w="327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总计</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16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118,939,868.36</w:t>
            </w:r>
          </w:p>
        </w:tc>
      </w:tr>
    </w:tbl>
    <w:p>
      <w:pPr>
        <w:ind w:left="-288" w:leftChars="-675" w:hanging="1130" w:hangingChars="471"/>
        <w:jc w:val="left"/>
        <w:rPr>
          <w:rFonts w:asciiTheme="minorEastAsia" w:hAnsiTheme="minorEastAsia" w:eastAsiaTheme="minorEastAsia"/>
          <w:sz w:val="24"/>
        </w:rPr>
      </w:pPr>
      <w:r>
        <w:rPr>
          <w:rFonts w:hint="eastAsia" w:asciiTheme="minorEastAsia" w:hAnsiTheme="minorEastAsia" w:eastAsiaTheme="minorEastAsia"/>
          <w:sz w:val="24"/>
        </w:rPr>
        <w:t xml:space="preserve">      注：本表反映部门本年度的总收支和年末结转结余情况。   </w:t>
      </w:r>
    </w:p>
    <w:p>
      <w:pPr>
        <w:jc w:val="center"/>
        <w:rPr>
          <w:rFonts w:ascii="黑体" w:eastAsia="黑体"/>
          <w:b/>
          <w:sz w:val="30"/>
          <w:szCs w:val="30"/>
        </w:rPr>
        <w:sectPr>
          <w:headerReference r:id="rId3" w:type="default"/>
          <w:footerReference r:id="rId4" w:type="default"/>
          <w:footerReference r:id="rId5" w:type="even"/>
          <w:pgSz w:w="11906" w:h="16838"/>
          <w:pgMar w:top="1440" w:right="1416" w:bottom="1440" w:left="1276" w:header="851" w:footer="992" w:gutter="0"/>
          <w:cols w:space="425" w:num="1"/>
          <w:docGrid w:type="lines" w:linePitch="312" w:charSpace="0"/>
        </w:sectPr>
      </w:pPr>
    </w:p>
    <w:p>
      <w:pPr>
        <w:widowControl/>
        <w:jc w:val="center"/>
        <w:rPr>
          <w:rFonts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收入决算表</w:t>
      </w:r>
    </w:p>
    <w:p>
      <w:pPr>
        <w:ind w:firstLine="108" w:firstLineChars="50"/>
        <w:rPr>
          <w:rFonts w:asciiTheme="majorEastAsia" w:hAnsiTheme="majorEastAsia" w:eastAsiaTheme="majorEastAsia"/>
          <w:b/>
          <w:sz w:val="22"/>
          <w:szCs w:val="22"/>
        </w:rPr>
      </w:pPr>
      <w:r>
        <w:rPr>
          <w:rFonts w:hint="eastAsia" w:ascii="仿宋_GB2312" w:hAnsi="宋体" w:eastAsia="仿宋_GB2312"/>
          <w:sz w:val="22"/>
          <w:szCs w:val="22"/>
        </w:rPr>
        <w:t xml:space="preserve">                                                                                                     </w:t>
      </w:r>
      <w:r>
        <w:rPr>
          <w:rFonts w:hint="eastAsia" w:asciiTheme="majorEastAsia" w:hAnsiTheme="majorEastAsia" w:eastAsiaTheme="majorEastAsia"/>
          <w:b/>
          <w:sz w:val="22"/>
          <w:szCs w:val="22"/>
        </w:rPr>
        <w:t xml:space="preserve">        公开02表</w:t>
      </w:r>
    </w:p>
    <w:p>
      <w:pPr>
        <w:ind w:firstLine="108" w:firstLineChars="50"/>
        <w:rPr>
          <w:rFonts w:asciiTheme="majorEastAsia" w:hAnsiTheme="majorEastAsia" w:eastAsiaTheme="majorEastAsia"/>
          <w:b/>
          <w:sz w:val="22"/>
          <w:szCs w:val="22"/>
        </w:rPr>
      </w:pPr>
      <w:r>
        <w:rPr>
          <w:rFonts w:hint="eastAsia" w:asciiTheme="majorEastAsia" w:hAnsiTheme="majorEastAsia" w:eastAsiaTheme="majorEastAsia"/>
          <w:b/>
          <w:sz w:val="22"/>
          <w:szCs w:val="22"/>
        </w:rPr>
        <w:t>部门：青岛市市北区人民法院(汇总)                2020年度                                                  金额单位：元</w:t>
      </w:r>
    </w:p>
    <w:tbl>
      <w:tblPr>
        <w:tblStyle w:val="8"/>
        <w:tblW w:w="13859" w:type="dxa"/>
        <w:tblInd w:w="100" w:type="dxa"/>
        <w:tblLayout w:type="fixed"/>
        <w:tblCellMar>
          <w:top w:w="0" w:type="dxa"/>
          <w:left w:w="108" w:type="dxa"/>
          <w:bottom w:w="0" w:type="dxa"/>
          <w:right w:w="108" w:type="dxa"/>
        </w:tblCellMar>
      </w:tblPr>
      <w:tblGrid>
        <w:gridCol w:w="422"/>
        <w:gridCol w:w="422"/>
        <w:gridCol w:w="422"/>
        <w:gridCol w:w="3734"/>
        <w:gridCol w:w="1669"/>
        <w:gridCol w:w="1680"/>
        <w:gridCol w:w="1000"/>
        <w:gridCol w:w="683"/>
        <w:gridCol w:w="1276"/>
        <w:gridCol w:w="1275"/>
        <w:gridCol w:w="1276"/>
      </w:tblGrid>
      <w:tr>
        <w:tblPrEx>
          <w:tblLayout w:type="fixed"/>
          <w:tblCellMar>
            <w:top w:w="0" w:type="dxa"/>
            <w:left w:w="108" w:type="dxa"/>
            <w:bottom w:w="0" w:type="dxa"/>
            <w:right w:w="108" w:type="dxa"/>
          </w:tblCellMar>
        </w:tblPrEx>
        <w:trPr>
          <w:trHeight w:val="610" w:hRule="atLeast"/>
        </w:trPr>
        <w:tc>
          <w:tcPr>
            <w:tcW w:w="1266"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科目编码</w:t>
            </w:r>
          </w:p>
        </w:tc>
        <w:tc>
          <w:tcPr>
            <w:tcW w:w="3734"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科目名称</w:t>
            </w:r>
          </w:p>
        </w:tc>
        <w:tc>
          <w:tcPr>
            <w:tcW w:w="1669"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本年收入合计</w:t>
            </w:r>
          </w:p>
        </w:tc>
        <w:tc>
          <w:tcPr>
            <w:tcW w:w="168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财政拨款收入</w:t>
            </w:r>
          </w:p>
        </w:tc>
        <w:tc>
          <w:tcPr>
            <w:tcW w:w="100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上级补助收入</w:t>
            </w:r>
          </w:p>
        </w:tc>
        <w:tc>
          <w:tcPr>
            <w:tcW w:w="683"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事业收入</w:t>
            </w:r>
          </w:p>
        </w:tc>
        <w:tc>
          <w:tcPr>
            <w:tcW w:w="1276"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经营收入</w:t>
            </w:r>
          </w:p>
        </w:tc>
        <w:tc>
          <w:tcPr>
            <w:tcW w:w="1275"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附属单位上缴收入</w:t>
            </w:r>
          </w:p>
        </w:tc>
        <w:tc>
          <w:tcPr>
            <w:tcW w:w="1276"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其他收入</w:t>
            </w:r>
          </w:p>
        </w:tc>
      </w:tr>
      <w:tr>
        <w:tblPrEx>
          <w:tblLayout w:type="fixed"/>
          <w:tblCellMar>
            <w:top w:w="0" w:type="dxa"/>
            <w:left w:w="108" w:type="dxa"/>
            <w:bottom w:w="0" w:type="dxa"/>
            <w:right w:w="108" w:type="dxa"/>
          </w:tblCellMar>
        </w:tblPrEx>
        <w:trPr>
          <w:trHeight w:val="610" w:hRule="atLeast"/>
        </w:trPr>
        <w:tc>
          <w:tcPr>
            <w:tcW w:w="12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3734"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669"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000"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683"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275"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610" w:hRule="atLeast"/>
        </w:trPr>
        <w:tc>
          <w:tcPr>
            <w:tcW w:w="12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3734"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669"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000"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683"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275"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610" w:hRule="atLeast"/>
        </w:trPr>
        <w:tc>
          <w:tcPr>
            <w:tcW w:w="126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3734"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669"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680"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000"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683"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275"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1276"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r>
      <w:tr>
        <w:tblPrEx>
          <w:tblLayout w:type="fixed"/>
          <w:tblCellMar>
            <w:top w:w="0" w:type="dxa"/>
            <w:left w:w="108" w:type="dxa"/>
            <w:bottom w:w="0" w:type="dxa"/>
            <w:right w:w="108" w:type="dxa"/>
          </w:tblCellMar>
        </w:tblPrEx>
        <w:trPr>
          <w:trHeight w:val="300" w:hRule="atLeast"/>
        </w:trPr>
        <w:tc>
          <w:tcPr>
            <w:tcW w:w="422"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类</w:t>
            </w:r>
          </w:p>
        </w:tc>
        <w:tc>
          <w:tcPr>
            <w:tcW w:w="42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款</w:t>
            </w:r>
          </w:p>
        </w:tc>
        <w:tc>
          <w:tcPr>
            <w:tcW w:w="42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w:t>
            </w:r>
          </w:p>
        </w:tc>
        <w:tc>
          <w:tcPr>
            <w:tcW w:w="3734"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栏次</w:t>
            </w:r>
          </w:p>
        </w:tc>
        <w:tc>
          <w:tcPr>
            <w:tcW w:w="1669"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68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00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683"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75"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c>
          <w:tcPr>
            <w:tcW w:w="1276"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w:t>
            </w:r>
          </w:p>
        </w:tc>
      </w:tr>
      <w:tr>
        <w:tblPrEx>
          <w:tblLayout w:type="fixed"/>
          <w:tblCellMar>
            <w:top w:w="0" w:type="dxa"/>
            <w:left w:w="108" w:type="dxa"/>
            <w:bottom w:w="0" w:type="dxa"/>
            <w:right w:w="108" w:type="dxa"/>
          </w:tblCellMar>
        </w:tblPrEx>
        <w:trPr>
          <w:trHeight w:val="300" w:hRule="atLeast"/>
        </w:trPr>
        <w:tc>
          <w:tcPr>
            <w:tcW w:w="422"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422"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422"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3734"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合计</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100,366,581.93</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100,366,581.93</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204</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公共安全支出</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96,559,804.81</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96,559,804.81</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20405</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法院</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92,957,104.81</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92,957,104.81</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2040501</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行政运行</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65,466,090.68</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65,466,090.68</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2040502</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一般行政管理事务</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820,000.00</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820,000.00</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2040503</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机关服务</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3,657,762.55</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3,657,762.55</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2040504</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案件审判</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23,013,251.58</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23,013,251.58</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20499</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其他公共安全支出</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3,602,700.00</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3,602,700.00</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2049901</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其他公共安全支出</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3,602,700.00</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3,602,700.00</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208</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社会保障和就业支出</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3,806,777.12</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3,806,777.12</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20805</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行政事业单位养老支出</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3,806,777.12</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3,806,777.12</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2080505</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机关事业单位基本养老保险缴费支出</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3,796,277.12</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3,796,277.12</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2080599</w:t>
            </w:r>
          </w:p>
        </w:tc>
        <w:tc>
          <w:tcPr>
            <w:tcW w:w="3734"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其他行政事业单位养老支出</w:t>
            </w:r>
          </w:p>
        </w:tc>
        <w:tc>
          <w:tcPr>
            <w:tcW w:w="1669"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10,500.00</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10,500.00</w:t>
            </w:r>
          </w:p>
        </w:tc>
        <w:tc>
          <w:tcPr>
            <w:tcW w:w="10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683"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5"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76"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bl>
    <w:p>
      <w:pPr>
        <w:ind w:firstLine="108" w:firstLineChars="50"/>
        <w:rPr>
          <w:rFonts w:asciiTheme="majorEastAsia" w:hAnsiTheme="majorEastAsia" w:eastAsiaTheme="majorEastAsia"/>
          <w:b/>
          <w:sz w:val="22"/>
          <w:szCs w:val="22"/>
        </w:rPr>
      </w:pPr>
      <w:r>
        <w:rPr>
          <w:rFonts w:hint="eastAsia" w:asciiTheme="majorEastAsia" w:hAnsiTheme="majorEastAsia" w:eastAsiaTheme="majorEastAsia"/>
          <w:b/>
          <w:sz w:val="22"/>
          <w:szCs w:val="22"/>
        </w:rPr>
        <w:t>注：本表反映部门本年度取得的各项收入情况。</w:t>
      </w:r>
    </w:p>
    <w:p>
      <w:pPr>
        <w:ind w:firstLine="108" w:firstLineChars="50"/>
        <w:rPr>
          <w:rFonts w:ascii="仿宋_GB2312" w:hAnsi="宋体" w:eastAsia="仿宋_GB2312"/>
          <w:sz w:val="22"/>
          <w:szCs w:val="22"/>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36"/>
          <w:szCs w:val="36"/>
        </w:rPr>
      </w:pP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支出决算表</w:t>
      </w:r>
    </w:p>
    <w:p>
      <w:pPr>
        <w:spacing w:line="400" w:lineRule="exact"/>
        <w:jc w:val="right"/>
        <w:rPr>
          <w:rFonts w:asciiTheme="majorEastAsia" w:hAnsiTheme="majorEastAsia" w:eastAsiaTheme="majorEastAsia"/>
          <w:sz w:val="22"/>
          <w:szCs w:val="22"/>
        </w:rPr>
      </w:pPr>
      <w:r>
        <w:rPr>
          <w:rFonts w:hint="eastAsia" w:ascii="黑体" w:hAnsi="黑体" w:eastAsia="黑体"/>
          <w:sz w:val="30"/>
          <w:szCs w:val="30"/>
        </w:rPr>
        <w:t xml:space="preserve">                                                                                  </w:t>
      </w:r>
      <w:r>
        <w:rPr>
          <w:rFonts w:hint="eastAsia" w:asciiTheme="majorEastAsia" w:hAnsiTheme="majorEastAsia" w:eastAsiaTheme="majorEastAsia"/>
          <w:sz w:val="22"/>
          <w:szCs w:val="22"/>
        </w:rPr>
        <w:t xml:space="preserve"> 公开03表</w:t>
      </w:r>
    </w:p>
    <w:p>
      <w:pPr>
        <w:ind w:firstLine="108" w:firstLineChars="50"/>
        <w:rPr>
          <w:rFonts w:asciiTheme="majorEastAsia" w:hAnsiTheme="majorEastAsia" w:eastAsiaTheme="majorEastAsia"/>
          <w:b/>
          <w:sz w:val="22"/>
          <w:szCs w:val="22"/>
        </w:rPr>
      </w:pPr>
      <w:r>
        <w:rPr>
          <w:rFonts w:hint="eastAsia" w:asciiTheme="majorEastAsia" w:hAnsiTheme="majorEastAsia" w:eastAsiaTheme="majorEastAsia"/>
          <w:b/>
          <w:sz w:val="22"/>
          <w:szCs w:val="22"/>
        </w:rPr>
        <w:t>部门：青岛市市北区人民法院(汇总)                2020年度                                                     金额单位：元</w:t>
      </w:r>
    </w:p>
    <w:tbl>
      <w:tblPr>
        <w:tblStyle w:val="8"/>
        <w:tblW w:w="13426" w:type="dxa"/>
        <w:tblInd w:w="100" w:type="dxa"/>
        <w:tblLayout w:type="fixed"/>
        <w:tblCellMar>
          <w:top w:w="0" w:type="dxa"/>
          <w:left w:w="108" w:type="dxa"/>
          <w:bottom w:w="0" w:type="dxa"/>
          <w:right w:w="108" w:type="dxa"/>
        </w:tblCellMar>
      </w:tblPr>
      <w:tblGrid>
        <w:gridCol w:w="422"/>
        <w:gridCol w:w="422"/>
        <w:gridCol w:w="422"/>
        <w:gridCol w:w="3520"/>
        <w:gridCol w:w="1680"/>
        <w:gridCol w:w="1680"/>
        <w:gridCol w:w="1680"/>
        <w:gridCol w:w="1380"/>
        <w:gridCol w:w="1020"/>
        <w:gridCol w:w="1200"/>
      </w:tblGrid>
      <w:tr>
        <w:tblPrEx>
          <w:tblLayout w:type="fixed"/>
          <w:tblCellMar>
            <w:top w:w="0" w:type="dxa"/>
            <w:left w:w="108" w:type="dxa"/>
            <w:bottom w:w="0" w:type="dxa"/>
            <w:right w:w="108" w:type="dxa"/>
          </w:tblCellMar>
        </w:tblPrEx>
        <w:trPr>
          <w:trHeight w:val="610" w:hRule="atLeast"/>
        </w:trPr>
        <w:tc>
          <w:tcPr>
            <w:tcW w:w="1266"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352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68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68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168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c>
          <w:tcPr>
            <w:tcW w:w="138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上缴上级支出</w:t>
            </w:r>
          </w:p>
        </w:tc>
        <w:tc>
          <w:tcPr>
            <w:tcW w:w="102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经营支出</w:t>
            </w:r>
          </w:p>
        </w:tc>
        <w:tc>
          <w:tcPr>
            <w:tcW w:w="1200"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对附属单位补助支出</w:t>
            </w:r>
          </w:p>
        </w:tc>
      </w:tr>
      <w:tr>
        <w:tblPrEx>
          <w:tblLayout w:type="fixed"/>
          <w:tblCellMar>
            <w:top w:w="0" w:type="dxa"/>
            <w:left w:w="108" w:type="dxa"/>
            <w:bottom w:w="0" w:type="dxa"/>
            <w:right w:w="108" w:type="dxa"/>
          </w:tblCellMar>
        </w:tblPrEx>
        <w:trPr>
          <w:trHeight w:val="610" w:hRule="atLeast"/>
        </w:trPr>
        <w:tc>
          <w:tcPr>
            <w:tcW w:w="1266" w:type="dxa"/>
            <w:gridSpan w:val="3"/>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52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10" w:hRule="atLeast"/>
        </w:trPr>
        <w:tc>
          <w:tcPr>
            <w:tcW w:w="1266" w:type="dxa"/>
            <w:gridSpan w:val="3"/>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52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10" w:hRule="atLeast"/>
        </w:trPr>
        <w:tc>
          <w:tcPr>
            <w:tcW w:w="1266" w:type="dxa"/>
            <w:gridSpan w:val="3"/>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52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6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8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200" w:type="dxa"/>
            <w:vMerge w:val="continue"/>
            <w:tcBorders>
              <w:top w:val="single" w:color="auto" w:sz="4" w:space="0"/>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00" w:hRule="atLeast"/>
        </w:trPr>
        <w:tc>
          <w:tcPr>
            <w:tcW w:w="422"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类</w:t>
            </w:r>
          </w:p>
        </w:tc>
        <w:tc>
          <w:tcPr>
            <w:tcW w:w="42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款</w:t>
            </w:r>
          </w:p>
        </w:tc>
        <w:tc>
          <w:tcPr>
            <w:tcW w:w="42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w:t>
            </w:r>
          </w:p>
        </w:tc>
        <w:tc>
          <w:tcPr>
            <w:tcW w:w="352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栏次</w:t>
            </w:r>
          </w:p>
        </w:tc>
        <w:tc>
          <w:tcPr>
            <w:tcW w:w="168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68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68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38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102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120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w:t>
            </w:r>
          </w:p>
        </w:tc>
      </w:tr>
      <w:tr>
        <w:tblPrEx>
          <w:tblLayout w:type="fixed"/>
          <w:tblCellMar>
            <w:top w:w="0" w:type="dxa"/>
            <w:left w:w="108" w:type="dxa"/>
            <w:bottom w:w="0" w:type="dxa"/>
            <w:right w:w="108" w:type="dxa"/>
          </w:tblCellMar>
        </w:tblPrEx>
        <w:trPr>
          <w:trHeight w:val="300" w:hRule="atLeast"/>
        </w:trPr>
        <w:tc>
          <w:tcPr>
            <w:tcW w:w="422"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422"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422" w:type="dxa"/>
            <w:vMerge w:val="continue"/>
            <w:tcBorders>
              <w:top w:val="nil"/>
              <w:left w:val="nil"/>
              <w:bottom w:val="single" w:color="000000" w:sz="4" w:space="0"/>
              <w:right w:val="single" w:color="000000" w:sz="4" w:space="0"/>
            </w:tcBorders>
            <w:vAlign w:val="center"/>
          </w:tcPr>
          <w:p>
            <w:pPr>
              <w:widowControl/>
              <w:jc w:val="left"/>
              <w:rPr>
                <w:rFonts w:cs="宋体" w:asciiTheme="minorEastAsia" w:hAnsiTheme="minorEastAsia" w:eastAsiaTheme="minorEastAsia"/>
                <w:kern w:val="0"/>
                <w:szCs w:val="21"/>
              </w:rPr>
            </w:pPr>
          </w:p>
        </w:tc>
        <w:tc>
          <w:tcPr>
            <w:tcW w:w="3520" w:type="dxa"/>
            <w:tcBorders>
              <w:top w:val="nil"/>
              <w:left w:val="nil"/>
              <w:bottom w:val="single" w:color="000000" w:sz="4" w:space="0"/>
              <w:right w:val="single" w:color="000000" w:sz="4" w:space="0"/>
            </w:tcBorders>
            <w:shd w:val="clear" w:color="000000" w:fill="FFFFFF"/>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合计</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101,047,942.43</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72,927,413.35</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28,120,529.08</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204</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公共安全支出</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97,241,165.31</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69,131,136.23</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28,110,029.08</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20405</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法院</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96,462,577.81</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69,131,136.23</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27,331,441.58</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2040501</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行政运行</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65,473,011.68</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65,473,011.68</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2040502</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一般行政管理事务</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485,790.00</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485,790.00</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2040503</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机关服务</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3,658,124.55</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3,658,124.55</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2040504</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案件审判</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26,845,651.58</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26,845,651.58</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20499</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其他公共安全支出</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778,587.50</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778,587.50</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2049901</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其他公共安全支出</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778,587.50</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778,587.50</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208</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社会保障和就业支出</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3,806,777.12</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3,796,277.12</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10,500.00</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20805</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行政事业单位养老支出</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3,806,777.12</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3,796,277.12</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10,500.00</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2080505</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机关事业单位基本养老保险缴费支出</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3,796,277.12</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3,796,277.12</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r>
        <w:tblPrEx>
          <w:tblLayout w:type="fixed"/>
          <w:tblCellMar>
            <w:top w:w="0" w:type="dxa"/>
            <w:left w:w="108" w:type="dxa"/>
            <w:bottom w:w="0" w:type="dxa"/>
            <w:right w:w="108" w:type="dxa"/>
          </w:tblCellMar>
        </w:tblPrEx>
        <w:trPr>
          <w:trHeight w:val="300" w:hRule="atLeast"/>
        </w:trPr>
        <w:tc>
          <w:tcPr>
            <w:tcW w:w="126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2080599</w:t>
            </w:r>
          </w:p>
        </w:tc>
        <w:tc>
          <w:tcPr>
            <w:tcW w:w="3520" w:type="dxa"/>
            <w:tcBorders>
              <w:top w:val="nil"/>
              <w:left w:val="nil"/>
              <w:bottom w:val="single" w:color="000000" w:sz="4" w:space="0"/>
              <w:right w:val="single" w:color="000000" w:sz="4" w:space="0"/>
            </w:tcBorders>
            <w:shd w:val="clear" w:color="000000" w:fill="FFFFFF"/>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其他行政事业单位养老支出</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10,500.00</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6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10,500.00</w:t>
            </w:r>
          </w:p>
        </w:tc>
        <w:tc>
          <w:tcPr>
            <w:tcW w:w="138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02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c>
          <w:tcPr>
            <w:tcW w:w="1200" w:type="dxa"/>
            <w:tcBorders>
              <w:top w:val="nil"/>
              <w:left w:val="nil"/>
              <w:bottom w:val="single" w:color="000000" w:sz="4" w:space="0"/>
              <w:right w:val="single" w:color="000000" w:sz="4" w:space="0"/>
            </w:tcBorders>
            <w:shd w:val="clear" w:color="000000" w:fill="FFFFFF"/>
            <w:vAlign w:val="center"/>
          </w:tcPr>
          <w:p>
            <w:pPr>
              <w:widowControl/>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w:t>
            </w:r>
          </w:p>
        </w:tc>
      </w:tr>
    </w:tbl>
    <w:p>
      <w:pPr>
        <w:ind w:firstLine="98" w:firstLineChars="50"/>
        <w:rPr>
          <w:rFonts w:asciiTheme="majorEastAsia" w:hAnsiTheme="majorEastAsia" w:eastAsiaTheme="majorEastAsia"/>
          <w:b/>
          <w:sz w:val="22"/>
          <w:szCs w:val="22"/>
        </w:rPr>
      </w:pPr>
      <w:r>
        <w:rPr>
          <w:rFonts w:hint="eastAsia" w:ascii="宋体" w:hAnsi="宋体" w:cs="宋体"/>
          <w:kern w:val="0"/>
          <w:sz w:val="20"/>
          <w:szCs w:val="20"/>
        </w:rPr>
        <w:t>注：本表反映部门本年度各项支出情况。</w:t>
      </w:r>
    </w:p>
    <w:tbl>
      <w:tblPr>
        <w:tblStyle w:val="8"/>
        <w:tblW w:w="13550" w:type="dxa"/>
        <w:tblInd w:w="100" w:type="dxa"/>
        <w:tblLayout w:type="fixed"/>
        <w:tblCellMar>
          <w:top w:w="0" w:type="dxa"/>
          <w:left w:w="108" w:type="dxa"/>
          <w:bottom w:w="0" w:type="dxa"/>
          <w:right w:w="108" w:type="dxa"/>
        </w:tblCellMar>
      </w:tblPr>
      <w:tblGrid>
        <w:gridCol w:w="13550"/>
      </w:tblGrid>
      <w:tr>
        <w:tblPrEx>
          <w:tblLayout w:type="fixed"/>
          <w:tblCellMar>
            <w:top w:w="0" w:type="dxa"/>
            <w:left w:w="108" w:type="dxa"/>
            <w:bottom w:w="0" w:type="dxa"/>
            <w:right w:w="108" w:type="dxa"/>
          </w:tblCellMar>
        </w:tblPrEx>
        <w:trPr>
          <w:trHeight w:val="270" w:hRule="atLeast"/>
        </w:trPr>
        <w:tc>
          <w:tcPr>
            <w:tcW w:w="13550" w:type="dxa"/>
            <w:tcBorders>
              <w:top w:val="nil"/>
              <w:left w:val="nil"/>
              <w:bottom w:val="nil"/>
              <w:right w:val="nil"/>
            </w:tcBorders>
            <w:shd w:val="clear" w:color="000000" w:fill="FFFFFF"/>
            <w:vAlign w:val="center"/>
          </w:tcPr>
          <w:p>
            <w:pPr>
              <w:widowControl/>
              <w:jc w:val="left"/>
              <w:rPr>
                <w:rFonts w:ascii="宋体" w:hAnsi="宋体" w:cs="宋体"/>
                <w:kern w:val="0"/>
                <w:sz w:val="20"/>
                <w:szCs w:val="20"/>
              </w:rPr>
            </w:pPr>
          </w:p>
        </w:tc>
      </w:tr>
    </w:tbl>
    <w:p>
      <w:pPr>
        <w:wordWrap w:val="0"/>
        <w:spacing w:line="400" w:lineRule="exact"/>
        <w:ind w:firstLine="108" w:firstLineChars="50"/>
        <w:jc w:val="right"/>
        <w:rPr>
          <w:rFonts w:ascii="仿宋_GB2312" w:hAnsi="宋体" w:eastAsia="仿宋_GB2312"/>
          <w:sz w:val="22"/>
          <w:szCs w:val="22"/>
        </w:rPr>
        <w:sectPr>
          <w:pgSz w:w="16838" w:h="11906" w:orient="landscape"/>
          <w:pgMar w:top="567" w:right="1701" w:bottom="567"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Theme="majorEastAsia" w:hAnsiTheme="majorEastAsia" w:eastAsiaTheme="majorEastAsia"/>
          <w:sz w:val="22"/>
          <w:szCs w:val="22"/>
        </w:rPr>
      </w:pPr>
      <w:r>
        <w:rPr>
          <w:rFonts w:hint="eastAsia" w:asciiTheme="majorEastAsia" w:hAnsiTheme="majorEastAsia" w:eastAsiaTheme="majorEastAsia"/>
          <w:sz w:val="22"/>
          <w:szCs w:val="22"/>
        </w:rPr>
        <w:t>公开04表</w:t>
      </w:r>
    </w:p>
    <w:p>
      <w:pPr>
        <w:spacing w:line="400" w:lineRule="exact"/>
        <w:ind w:firstLine="108" w:firstLineChar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部门：青岛市市北区人民法院（汇总）                         2020年度                                            金额单位：元</w:t>
      </w:r>
    </w:p>
    <w:tbl>
      <w:tblPr>
        <w:tblStyle w:val="8"/>
        <w:tblW w:w="14554" w:type="dxa"/>
        <w:tblInd w:w="-470" w:type="dxa"/>
        <w:tblLayout w:type="fixed"/>
        <w:tblCellMar>
          <w:top w:w="0" w:type="dxa"/>
          <w:left w:w="108" w:type="dxa"/>
          <w:bottom w:w="0" w:type="dxa"/>
          <w:right w:w="108" w:type="dxa"/>
        </w:tblCellMar>
      </w:tblPr>
      <w:tblGrid>
        <w:gridCol w:w="2846"/>
        <w:gridCol w:w="434"/>
        <w:gridCol w:w="1587"/>
        <w:gridCol w:w="3224"/>
        <w:gridCol w:w="567"/>
        <w:gridCol w:w="1729"/>
        <w:gridCol w:w="1587"/>
        <w:gridCol w:w="1446"/>
        <w:gridCol w:w="1134"/>
      </w:tblGrid>
      <w:tr>
        <w:tblPrEx>
          <w:tblLayout w:type="fixed"/>
          <w:tblCellMar>
            <w:top w:w="0" w:type="dxa"/>
            <w:left w:w="108" w:type="dxa"/>
            <w:bottom w:w="0" w:type="dxa"/>
            <w:right w:w="108" w:type="dxa"/>
          </w:tblCellMar>
        </w:tblPrEx>
        <w:trPr>
          <w:trHeight w:val="300" w:hRule="atLeast"/>
        </w:trPr>
        <w:tc>
          <w:tcPr>
            <w:tcW w:w="4867" w:type="dxa"/>
            <w:gridSpan w:val="3"/>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收     入</w:t>
            </w:r>
          </w:p>
        </w:tc>
        <w:tc>
          <w:tcPr>
            <w:tcW w:w="9687" w:type="dxa"/>
            <w:gridSpan w:val="6"/>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支     出</w:t>
            </w:r>
          </w:p>
        </w:tc>
      </w:tr>
      <w:tr>
        <w:tblPrEx>
          <w:tblLayout w:type="fixed"/>
          <w:tblCellMar>
            <w:top w:w="0" w:type="dxa"/>
            <w:left w:w="108" w:type="dxa"/>
            <w:bottom w:w="0" w:type="dxa"/>
            <w:right w:w="108" w:type="dxa"/>
          </w:tblCellMar>
        </w:tblPrEx>
        <w:trPr>
          <w:trHeight w:val="610" w:hRule="atLeast"/>
        </w:trPr>
        <w:tc>
          <w:tcPr>
            <w:tcW w:w="2846"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43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58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c>
          <w:tcPr>
            <w:tcW w:w="322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56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172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58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一般公共预算财政拨款</w:t>
            </w:r>
          </w:p>
        </w:tc>
        <w:tc>
          <w:tcPr>
            <w:tcW w:w="1446"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政府性基金预算财政拨款</w:t>
            </w:r>
          </w:p>
        </w:tc>
        <w:tc>
          <w:tcPr>
            <w:tcW w:w="113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国有资本经营预算财政拨款</w:t>
            </w:r>
          </w:p>
        </w:tc>
      </w:tr>
      <w:tr>
        <w:tblPrEx>
          <w:tblLayout w:type="fixed"/>
          <w:tblCellMar>
            <w:top w:w="0" w:type="dxa"/>
            <w:left w:w="108" w:type="dxa"/>
            <w:bottom w:w="0" w:type="dxa"/>
            <w:right w:w="108" w:type="dxa"/>
          </w:tblCellMar>
        </w:tblPrEx>
        <w:trPr>
          <w:trHeight w:val="610" w:hRule="atLeast"/>
        </w:trPr>
        <w:tc>
          <w:tcPr>
            <w:tcW w:w="28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34"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87"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3224"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567"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729"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587"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446"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134"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栏次</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栏次</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2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58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44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一、一般公共预算财政拨款</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100,366,581.93</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一、一般公共服务支出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33</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二、政府性基金预算财政拨款</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二、外交支出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34</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三、国有资本经营财政拨款</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三、国防支出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35</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四、公共安全支出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97,241,165.31</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97,241,165.31</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五、教育支出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37</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六、科学技术支出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七、文化旅游体育与传媒支出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39</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八、社会保障和就业支出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3,806,777.12</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3,806,777.12</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九、卫生健康支出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41</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十、节能环保支出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42</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十一、城乡社区支出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43</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十二、农林水支出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44</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十三、交通运输支出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45</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十四、资源勘探工业信息等支出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46</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十五、商业服务业等支出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47</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十六、金融支出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48</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十七、援助其他地区支出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49</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十八、自然资源海洋气象等支出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十九、住房保障支出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51</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二十、粮油物资储备支出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二十一、国有资本经营预算支出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53</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二十二、灾害防治及应急管理支出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54</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二十三、其他支出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55</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二十四、债务还本支出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56</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二十五、债务付息支出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57</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二十六、抗疫特别国债安排的支出</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58</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本年收入合计</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100,366,581.93</w:t>
            </w:r>
          </w:p>
        </w:tc>
        <w:tc>
          <w:tcPr>
            <w:tcW w:w="322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本年支出合计</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101,047,942.43</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101,047,942.43</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年初财政拨款结转和结余</w:t>
            </w:r>
          </w:p>
        </w:tc>
        <w:tc>
          <w:tcPr>
            <w:tcW w:w="43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14,912,533.45</w:t>
            </w:r>
          </w:p>
        </w:tc>
        <w:tc>
          <w:tcPr>
            <w:tcW w:w="3224"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年末财政拨款结转和结余</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60</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14,231,172.95</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14,231,172.95</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nil"/>
              <w:left w:val="single" w:color="000000" w:sz="4" w:space="0"/>
              <w:bottom w:val="single" w:color="auto"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一般公共预算财政拨款</w:t>
            </w:r>
          </w:p>
        </w:tc>
        <w:tc>
          <w:tcPr>
            <w:tcW w:w="434" w:type="dxa"/>
            <w:tcBorders>
              <w:top w:val="nil"/>
              <w:left w:val="nil"/>
              <w:bottom w:val="single" w:color="auto"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1587" w:type="dxa"/>
            <w:tcBorders>
              <w:top w:val="nil"/>
              <w:left w:val="nil"/>
              <w:bottom w:val="single" w:color="auto"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14,912,533.45</w:t>
            </w:r>
          </w:p>
        </w:tc>
        <w:tc>
          <w:tcPr>
            <w:tcW w:w="3224" w:type="dxa"/>
            <w:tcBorders>
              <w:top w:val="nil"/>
              <w:left w:val="nil"/>
              <w:bottom w:val="single" w:color="auto"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61</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政府性基金预算财政拨款</w:t>
            </w:r>
          </w:p>
        </w:tc>
        <w:tc>
          <w:tcPr>
            <w:tcW w:w="4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5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国有资本经营预算财政拨款</w:t>
            </w:r>
          </w:p>
        </w:tc>
        <w:tc>
          <w:tcPr>
            <w:tcW w:w="4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31</w:t>
            </w:r>
          </w:p>
        </w:tc>
        <w:tc>
          <w:tcPr>
            <w:tcW w:w="15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32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67" w:type="dxa"/>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63</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总计</w:t>
            </w:r>
          </w:p>
        </w:tc>
        <w:tc>
          <w:tcPr>
            <w:tcW w:w="4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32</w:t>
            </w:r>
          </w:p>
        </w:tc>
        <w:tc>
          <w:tcPr>
            <w:tcW w:w="15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115,279,115.38</w:t>
            </w:r>
          </w:p>
        </w:tc>
        <w:tc>
          <w:tcPr>
            <w:tcW w:w="322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总计</w:t>
            </w:r>
          </w:p>
        </w:tc>
        <w:tc>
          <w:tcPr>
            <w:tcW w:w="567" w:type="dxa"/>
            <w:tcBorders>
              <w:top w:val="nil"/>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64</w:t>
            </w:r>
          </w:p>
        </w:tc>
        <w:tc>
          <w:tcPr>
            <w:tcW w:w="172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115,279,115.38</w:t>
            </w:r>
          </w:p>
        </w:tc>
        <w:tc>
          <w:tcPr>
            <w:tcW w:w="1587"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115,279,115.38</w:t>
            </w:r>
          </w:p>
        </w:tc>
        <w:tc>
          <w:tcPr>
            <w:tcW w:w="144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ind w:firstLine="108" w:firstLineChars="50"/>
        <w:rPr>
          <w:rFonts w:hint="eastAsia" w:ascii="仿宋_GB2312" w:hAnsi="宋体" w:eastAsia="仿宋_GB2312"/>
          <w:sz w:val="22"/>
          <w:szCs w:val="22"/>
        </w:rPr>
      </w:pPr>
      <w:r>
        <w:rPr>
          <w:rFonts w:hint="eastAsia" w:ascii="仿宋_GB2312" w:hAnsi="宋体" w:eastAsia="仿宋_GB2312"/>
          <w:sz w:val="22"/>
          <w:szCs w:val="22"/>
        </w:rPr>
        <w:t>注：本表反映部门本年度一般公共预算财政拨款、政府性基金预算财政拨款和国有资本经营预算财政拨款的总收支和年末结转结余情况。</w:t>
      </w:r>
    </w:p>
    <w:p>
      <w:pPr>
        <w:ind w:firstLine="108" w:firstLineChars="50"/>
        <w:rPr>
          <w:rFonts w:hint="eastAsia" w:ascii="仿宋_GB2312" w:hAnsi="宋体" w:eastAsia="仿宋_GB2312"/>
          <w:sz w:val="22"/>
          <w:szCs w:val="22"/>
        </w:rPr>
      </w:pPr>
    </w:p>
    <w:p>
      <w:pPr>
        <w:ind w:firstLine="108" w:firstLineChars="50"/>
        <w:rPr>
          <w:rFonts w:hint="eastAsia" w:ascii="仿宋_GB2312" w:hAnsi="宋体" w:eastAsia="仿宋_GB2312"/>
          <w:sz w:val="22"/>
          <w:szCs w:val="22"/>
        </w:rPr>
      </w:pPr>
    </w:p>
    <w:p>
      <w:pPr>
        <w:ind w:firstLine="108" w:firstLineChars="50"/>
        <w:rPr>
          <w:rFonts w:hint="eastAsia" w:ascii="仿宋_GB2312" w:hAnsi="宋体" w:eastAsia="仿宋_GB2312"/>
          <w:sz w:val="22"/>
          <w:szCs w:val="22"/>
        </w:r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ind w:right="432"/>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 xml:space="preserve">                                                                                   公开05表</w:t>
      </w:r>
    </w:p>
    <w:p>
      <w:pPr>
        <w:spacing w:line="400" w:lineRule="exact"/>
        <w:ind w:firstLine="108" w:firstLineChar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部门：青岛市市北区人民法院（汇总）          2020年度                                             金额单位：元</w:t>
      </w:r>
    </w:p>
    <w:tbl>
      <w:tblPr>
        <w:tblStyle w:val="8"/>
        <w:tblW w:w="12482" w:type="dxa"/>
        <w:tblInd w:w="0" w:type="dxa"/>
        <w:tblLayout w:type="fixed"/>
        <w:tblCellMar>
          <w:top w:w="0" w:type="dxa"/>
          <w:left w:w="108" w:type="dxa"/>
          <w:bottom w:w="0" w:type="dxa"/>
          <w:right w:w="108" w:type="dxa"/>
        </w:tblCellMar>
      </w:tblPr>
      <w:tblGrid>
        <w:gridCol w:w="412"/>
        <w:gridCol w:w="412"/>
        <w:gridCol w:w="412"/>
        <w:gridCol w:w="4159"/>
        <w:gridCol w:w="2410"/>
        <w:gridCol w:w="2409"/>
        <w:gridCol w:w="2268"/>
      </w:tblGrid>
      <w:tr>
        <w:tblPrEx>
          <w:tblLayout w:type="fixed"/>
          <w:tblCellMar>
            <w:top w:w="0" w:type="dxa"/>
            <w:left w:w="108" w:type="dxa"/>
            <w:bottom w:w="0" w:type="dxa"/>
            <w:right w:w="108" w:type="dxa"/>
          </w:tblCellMar>
        </w:tblPrEx>
        <w:trPr>
          <w:trHeight w:val="300" w:hRule="atLeast"/>
        </w:trPr>
        <w:tc>
          <w:tcPr>
            <w:tcW w:w="1236" w:type="dxa"/>
            <w:gridSpan w:val="3"/>
            <w:vMerge w:val="restart"/>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4159" w:type="dxa"/>
            <w:vMerge w:val="restart"/>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7087" w:type="dxa"/>
            <w:gridSpan w:val="3"/>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本年支出</w:t>
            </w:r>
          </w:p>
        </w:tc>
      </w:tr>
      <w:tr>
        <w:tblPrEx>
          <w:tblLayout w:type="fixed"/>
          <w:tblCellMar>
            <w:top w:w="0" w:type="dxa"/>
            <w:left w:w="108" w:type="dxa"/>
            <w:bottom w:w="0" w:type="dxa"/>
            <w:right w:w="108" w:type="dxa"/>
          </w:tblCellMar>
        </w:tblPrEx>
        <w:trPr>
          <w:trHeight w:val="610" w:hRule="atLeast"/>
        </w:trPr>
        <w:tc>
          <w:tcPr>
            <w:tcW w:w="123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159"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41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2409"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2268"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r>
      <w:tr>
        <w:tblPrEx>
          <w:tblLayout w:type="fixed"/>
          <w:tblCellMar>
            <w:top w:w="0" w:type="dxa"/>
            <w:left w:w="108" w:type="dxa"/>
            <w:bottom w:w="0" w:type="dxa"/>
            <w:right w:w="108" w:type="dxa"/>
          </w:tblCellMar>
        </w:tblPrEx>
        <w:trPr>
          <w:trHeight w:val="610" w:hRule="atLeast"/>
        </w:trPr>
        <w:tc>
          <w:tcPr>
            <w:tcW w:w="123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159"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41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409"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10" w:hRule="atLeast"/>
        </w:trPr>
        <w:tc>
          <w:tcPr>
            <w:tcW w:w="1236"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159"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41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409"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268"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00" w:hRule="atLeast"/>
        </w:trPr>
        <w:tc>
          <w:tcPr>
            <w:tcW w:w="412"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类</w:t>
            </w:r>
          </w:p>
        </w:tc>
        <w:tc>
          <w:tcPr>
            <w:tcW w:w="41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款</w:t>
            </w:r>
          </w:p>
        </w:tc>
        <w:tc>
          <w:tcPr>
            <w:tcW w:w="412"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项</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栏次</w:t>
            </w:r>
          </w:p>
        </w:tc>
        <w:tc>
          <w:tcPr>
            <w:tcW w:w="241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409"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26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r>
      <w:tr>
        <w:tblPrEx>
          <w:tblLayout w:type="fixed"/>
          <w:tblCellMar>
            <w:top w:w="0" w:type="dxa"/>
            <w:left w:w="108" w:type="dxa"/>
            <w:bottom w:w="0" w:type="dxa"/>
            <w:right w:w="108" w:type="dxa"/>
          </w:tblCellMar>
        </w:tblPrEx>
        <w:trPr>
          <w:trHeight w:val="300" w:hRule="atLeast"/>
        </w:trPr>
        <w:tc>
          <w:tcPr>
            <w:tcW w:w="41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12"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12"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合计</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101,047,942.43</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72,927,413.35</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28,120,529.08</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公共安全支出</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97,241,165.31</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69,131,136.23</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28,110,029.08</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20405</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法院</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96,462,577.81</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69,131,136.23</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27,331,441.58</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2040501</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行政运行</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65,473,011.68</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65,473,011.68</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2040502</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一般行政管理事务</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485,790.00</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485,790.00</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2040503</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机关服务</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3,658,124.55</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3,658,124.55</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2040504</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案件审判</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26,845,651.58</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26,845,651.58</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20499</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其他公共安全支出</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778,587.50</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778,587.50</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2049901</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其他公共安全支出</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778,587.50</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778,587.50</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208</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社会保障和就业支出</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3,806,777.12</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3,796,277.12</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10,500.00</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20805</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行政事业单位养老支出</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3,806,777.12</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3,796,277.12</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10,500.00</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2080505</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机关事业单位基本养老保险缴费支出</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3,796,277.12</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3,796,277.12</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236" w:type="dxa"/>
            <w:gridSpan w:val="3"/>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2080599</w:t>
            </w:r>
          </w:p>
        </w:tc>
        <w:tc>
          <w:tcPr>
            <w:tcW w:w="4159"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其他行政事业单位养老支出</w:t>
            </w:r>
          </w:p>
        </w:tc>
        <w:tc>
          <w:tcPr>
            <w:tcW w:w="241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10,500.00</w:t>
            </w:r>
          </w:p>
        </w:tc>
        <w:tc>
          <w:tcPr>
            <w:tcW w:w="2409"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10,500.00</w:t>
            </w:r>
          </w:p>
        </w:tc>
      </w:tr>
    </w:tbl>
    <w:p>
      <w:pPr>
        <w:spacing w:line="400" w:lineRule="exact"/>
        <w:jc w:val="left"/>
        <w:rPr>
          <w:rFonts w:ascii="仿宋_GB2312" w:hAnsi="宋体" w:eastAsia="仿宋_GB2312"/>
          <w:sz w:val="22"/>
          <w:szCs w:val="22"/>
        </w:rPr>
      </w:pPr>
      <w:r>
        <w:rPr>
          <w:rFonts w:hint="eastAsia" w:ascii="仿宋_GB2312" w:hAnsi="宋体" w:eastAsia="仿宋_GB2312"/>
          <w:sz w:val="22"/>
          <w:szCs w:val="22"/>
        </w:rPr>
        <w:t>注：本表反映部门本年度一般公共预算财政拨款支出情况。</w:t>
      </w:r>
    </w:p>
    <w:p>
      <w:pPr>
        <w:spacing w:line="400" w:lineRule="exact"/>
        <w:jc w:val="left"/>
        <w:rPr>
          <w:rFonts w:ascii="仿宋_GB2312" w:hAnsi="宋体" w:eastAsia="仿宋_GB2312"/>
          <w:sz w:val="22"/>
          <w:szCs w:val="22"/>
        </w:rPr>
        <w:sectPr>
          <w:pgSz w:w="16838" w:h="11906" w:orient="landscape"/>
          <w:pgMar w:top="709"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Theme="minorEastAsia" w:hAnsiTheme="minorEastAsia" w:eastAsiaTheme="minorEastAsia"/>
          <w:sz w:val="24"/>
        </w:rPr>
      </w:pPr>
      <w:r>
        <w:rPr>
          <w:rFonts w:hint="eastAsia" w:asciiTheme="minorEastAsia" w:hAnsiTheme="minorEastAsia" w:eastAsiaTheme="minorEastAsia"/>
          <w:sz w:val="24"/>
        </w:rPr>
        <w:t>公开06表</w:t>
      </w:r>
    </w:p>
    <w:p>
      <w:pPr>
        <w:spacing w:line="400" w:lineRule="exact"/>
        <w:ind w:firstLine="108" w:firstLineChar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部门：青岛市市北区人民法院（汇总）                         2020年度                                            金额单位：元</w:t>
      </w:r>
    </w:p>
    <w:tbl>
      <w:tblPr>
        <w:tblStyle w:val="8"/>
        <w:tblW w:w="14273" w:type="dxa"/>
        <w:tblInd w:w="100" w:type="dxa"/>
        <w:tblLayout w:type="fixed"/>
        <w:tblCellMar>
          <w:top w:w="0" w:type="dxa"/>
          <w:left w:w="108" w:type="dxa"/>
          <w:bottom w:w="0" w:type="dxa"/>
          <w:right w:w="108" w:type="dxa"/>
        </w:tblCellMar>
      </w:tblPr>
      <w:tblGrid>
        <w:gridCol w:w="1001"/>
        <w:gridCol w:w="1842"/>
        <w:gridCol w:w="1701"/>
        <w:gridCol w:w="1134"/>
        <w:gridCol w:w="1985"/>
        <w:gridCol w:w="1559"/>
        <w:gridCol w:w="1134"/>
        <w:gridCol w:w="2525"/>
        <w:gridCol w:w="1392"/>
      </w:tblGrid>
      <w:tr>
        <w:tblPrEx>
          <w:tblLayout w:type="fixed"/>
          <w:tblCellMar>
            <w:top w:w="0" w:type="dxa"/>
            <w:left w:w="108" w:type="dxa"/>
            <w:bottom w:w="0" w:type="dxa"/>
            <w:right w:w="108" w:type="dxa"/>
          </w:tblCellMar>
        </w:tblPrEx>
        <w:trPr>
          <w:trHeight w:val="300" w:hRule="atLeast"/>
        </w:trPr>
        <w:tc>
          <w:tcPr>
            <w:tcW w:w="454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人员经费</w:t>
            </w:r>
          </w:p>
        </w:tc>
        <w:tc>
          <w:tcPr>
            <w:tcW w:w="9729"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公用经费</w:t>
            </w:r>
          </w:p>
        </w:tc>
      </w:tr>
      <w:tr>
        <w:tblPrEx>
          <w:tblLayout w:type="fixed"/>
          <w:tblCellMar>
            <w:top w:w="0" w:type="dxa"/>
            <w:left w:w="108" w:type="dxa"/>
            <w:bottom w:w="0" w:type="dxa"/>
            <w:right w:w="108" w:type="dxa"/>
          </w:tblCellMar>
        </w:tblPrEx>
        <w:trPr>
          <w:trHeight w:val="610" w:hRule="atLeast"/>
        </w:trPr>
        <w:tc>
          <w:tcPr>
            <w:tcW w:w="10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经济分类科目编码</w:t>
            </w:r>
          </w:p>
        </w:tc>
        <w:tc>
          <w:tcPr>
            <w:tcW w:w="184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经济分类科目编码</w:t>
            </w:r>
          </w:p>
        </w:tc>
        <w:tc>
          <w:tcPr>
            <w:tcW w:w="198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经济分类科目编码</w:t>
            </w:r>
          </w:p>
        </w:tc>
        <w:tc>
          <w:tcPr>
            <w:tcW w:w="252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3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金额</w:t>
            </w:r>
          </w:p>
        </w:tc>
      </w:tr>
      <w:tr>
        <w:tblPrEx>
          <w:tblLayout w:type="fixed"/>
          <w:tblCellMar>
            <w:top w:w="0" w:type="dxa"/>
            <w:left w:w="108" w:type="dxa"/>
            <w:bottom w:w="0" w:type="dxa"/>
            <w:right w:w="108" w:type="dxa"/>
          </w:tblCellMar>
        </w:tblPrEx>
        <w:trPr>
          <w:trHeight w:val="610" w:hRule="atLeast"/>
        </w:trPr>
        <w:tc>
          <w:tcPr>
            <w:tcW w:w="10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工资福利支出</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60,957,171.75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商品和服务支出</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6,273,062.67</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债务利息及费用支出</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30101</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基本工资</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11,244,247.00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30201</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办公费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329,577.90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30701</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国内债务付息</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30102</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津贴补贴</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28,030,704.27</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30202</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印刷费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123,262.77</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30702</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国外债务付息</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30103</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奖金</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7,616,713.00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30203</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咨询费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30703</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国内债务发行费用</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30106</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伙食补助费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90.00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30204</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手续费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7,353.00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30704</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国外债务发行费用</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30107</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绩效工资</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560,106.07</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30205</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水费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58,888.00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资本性支出</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30108</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机关事业单位基本养老保险缴费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3,796,277.12</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30206</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电费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458,909.63</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31001</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房屋建筑物购建</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30109</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职业年金缴费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30207</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邮电费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1,109,457.87</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31002</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办公设备购置</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30110</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职工基本医疗保险缴费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3,470,255.97</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30208</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取暖费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50,732.42</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31003</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专用设备购置</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30111</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公务员医疗补助缴费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30209</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物业管理费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834,379.36</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31005</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基础设施建设</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30112</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其他社会保障缴费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73,637.32</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30211</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差旅费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168,847.77</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31006</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大型修缮</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30113</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住房公积金</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3,561,651.00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30212</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因公出国（境）费用</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31007</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信息网络及软件购置更新</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30114</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医疗费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30213</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维修（护）费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190,503.70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31008</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物资储备</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30199</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其他工资福利支出</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2,603,490.00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30214</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租赁费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533,458.80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31009</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土地补偿</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8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对个人和家庭的补助</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5,697,178.93</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30215</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会议费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31010</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安置补助</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30301</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离休费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30216</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培训费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31011</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地上附着物和青苗补偿</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30302</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退休费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5,678,725.43</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30217</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公务接待费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31012</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拆迁补偿</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3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30303</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退职（役）费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30218</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专用材料费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31013</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公务用车购置</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30304</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抚恤金</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30224</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被装购置费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45,896.70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31019</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其他交通工具购置</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30305</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生活补助</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15,444.00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30225</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专用燃料费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31021</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文物和陈列品购置</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30306</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救济费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30226</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劳务费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31022</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无形资产购置</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30307</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医疗费补助</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30227</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委托业务费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31099</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其他资本性支出</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30308</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助学金</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30228</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工会经费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183,551.80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对企业补助</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30309</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奖励金</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3,009.50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30229</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福利费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31201</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资本金注入</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30310</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个人农业生产补贴</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30231</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公务用车运行维护费</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571,790.95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31203</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政府投资基金股权投资</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30311</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代缴社会保险费</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30239</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其他交通费用</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1,593,452.00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31204</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费用补贴</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30399</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其他对个人和家庭的补助</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30240</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税金及附加费用</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31205</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利息补贴</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30299</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其他商品和服务支出</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13,000.00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31299</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其他对企业补助</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其他支出</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39906</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赠与</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39907</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国家赔偿费用支出</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39908</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对民间非营利组织和群众性自治组织补贴</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1001"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8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39999</w:t>
            </w:r>
          </w:p>
        </w:tc>
        <w:tc>
          <w:tcPr>
            <w:tcW w:w="252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其他支出</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00" w:hRule="atLeast"/>
        </w:trPr>
        <w:tc>
          <w:tcPr>
            <w:tcW w:w="284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人员经费合计</w:t>
            </w:r>
          </w:p>
        </w:tc>
        <w:tc>
          <w:tcPr>
            <w:tcW w:w="1701"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66,654,350.68</w:t>
            </w:r>
          </w:p>
        </w:tc>
        <w:tc>
          <w:tcPr>
            <w:tcW w:w="8337"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公用经费合计</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6,273,062.67</w:t>
            </w:r>
          </w:p>
        </w:tc>
      </w:tr>
    </w:tbl>
    <w:p>
      <w:pPr>
        <w:spacing w:line="400" w:lineRule="exact"/>
        <w:jc w:val="left"/>
        <w:rPr>
          <w:rFonts w:ascii="仿宋_GB2312" w:hAnsi="宋体" w:eastAsia="仿宋_GB2312"/>
          <w:sz w:val="22"/>
          <w:szCs w:val="22"/>
        </w:rPr>
      </w:pPr>
      <w:r>
        <w:rPr>
          <w:rFonts w:hint="eastAsia" w:ascii="仿宋_GB2312" w:hAnsi="宋体" w:eastAsia="仿宋_GB2312"/>
          <w:sz w:val="22"/>
          <w:szCs w:val="22"/>
        </w:rPr>
        <w:t>注:本表反映部门本年度一般公共预算财政拨款基本支出明细情况。</w:t>
      </w: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一般公共预算财政拨款“三公”经费支出决算表</w:t>
      </w:r>
    </w:p>
    <w:p>
      <w:pPr>
        <w:wordWrap w:val="0"/>
        <w:spacing w:line="400" w:lineRule="exact"/>
        <w:jc w:val="right"/>
        <w:rPr>
          <w:rFonts w:asciiTheme="minorEastAsia" w:hAnsiTheme="minorEastAsia" w:eastAsiaTheme="minorEastAsia"/>
          <w:sz w:val="24"/>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Theme="minorEastAsia" w:hAnsiTheme="minorEastAsia" w:eastAsiaTheme="minorEastAsia"/>
          <w:sz w:val="24"/>
        </w:rPr>
        <w:t>公开07表</w:t>
      </w:r>
    </w:p>
    <w:p>
      <w:pPr>
        <w:wordWrap w:val="0"/>
        <w:spacing w:line="400" w:lineRule="exact"/>
        <w:jc w:val="right"/>
        <w:rPr>
          <w:rFonts w:asciiTheme="minorEastAsia" w:hAnsiTheme="minorEastAsia" w:eastAsiaTheme="minorEastAsia"/>
          <w:sz w:val="24"/>
        </w:rPr>
      </w:pPr>
      <w:r>
        <w:rPr>
          <w:rFonts w:hint="eastAsia" w:asciiTheme="minorEastAsia" w:hAnsiTheme="minorEastAsia" w:eastAsiaTheme="minorEastAsia"/>
          <w:sz w:val="24"/>
        </w:rPr>
        <w:t>部门：青岛市市北区人民法院（汇总）                       2020年度                                 金额单位：元</w:t>
      </w:r>
    </w:p>
    <w:tbl>
      <w:tblPr>
        <w:tblStyle w:val="8"/>
        <w:tblW w:w="13616" w:type="dxa"/>
        <w:tblInd w:w="100" w:type="dxa"/>
        <w:tblLayout w:type="fixed"/>
        <w:tblCellMar>
          <w:top w:w="0" w:type="dxa"/>
          <w:left w:w="108" w:type="dxa"/>
          <w:bottom w:w="0" w:type="dxa"/>
          <w:right w:w="108" w:type="dxa"/>
        </w:tblCellMar>
      </w:tblPr>
      <w:tblGrid>
        <w:gridCol w:w="1392"/>
        <w:gridCol w:w="933"/>
        <w:gridCol w:w="1392"/>
        <w:gridCol w:w="890"/>
        <w:gridCol w:w="1392"/>
        <w:gridCol w:w="1098"/>
        <w:gridCol w:w="1196"/>
        <w:gridCol w:w="933"/>
        <w:gridCol w:w="1196"/>
        <w:gridCol w:w="1068"/>
        <w:gridCol w:w="1196"/>
        <w:gridCol w:w="930"/>
      </w:tblGrid>
      <w:tr>
        <w:tblPrEx>
          <w:tblLayout w:type="fixed"/>
          <w:tblCellMar>
            <w:top w:w="0" w:type="dxa"/>
            <w:left w:w="108" w:type="dxa"/>
            <w:bottom w:w="0" w:type="dxa"/>
            <w:right w:w="108" w:type="dxa"/>
          </w:tblCellMar>
        </w:tblPrEx>
        <w:trPr>
          <w:trHeight w:val="270" w:hRule="atLeast"/>
        </w:trPr>
        <w:tc>
          <w:tcPr>
            <w:tcW w:w="7097" w:type="dxa"/>
            <w:gridSpan w:val="6"/>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预算数</w:t>
            </w:r>
          </w:p>
        </w:tc>
        <w:tc>
          <w:tcPr>
            <w:tcW w:w="6519" w:type="dxa"/>
            <w:gridSpan w:val="6"/>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决算数</w:t>
            </w:r>
          </w:p>
        </w:tc>
      </w:tr>
      <w:tr>
        <w:tblPrEx>
          <w:tblLayout w:type="fixed"/>
          <w:tblCellMar>
            <w:top w:w="0" w:type="dxa"/>
            <w:left w:w="108" w:type="dxa"/>
            <w:bottom w:w="0" w:type="dxa"/>
            <w:right w:w="108" w:type="dxa"/>
          </w:tblCellMar>
        </w:tblPrEx>
        <w:trPr>
          <w:trHeight w:val="270" w:hRule="atLeast"/>
        </w:trPr>
        <w:tc>
          <w:tcPr>
            <w:tcW w:w="1392"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933"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因公出国（境）费</w:t>
            </w:r>
          </w:p>
        </w:tc>
        <w:tc>
          <w:tcPr>
            <w:tcW w:w="3674"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公务用车购置及运行费</w:t>
            </w:r>
          </w:p>
        </w:tc>
        <w:tc>
          <w:tcPr>
            <w:tcW w:w="1098"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公务接待费</w:t>
            </w:r>
          </w:p>
        </w:tc>
        <w:tc>
          <w:tcPr>
            <w:tcW w:w="1196"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933"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因公出国（境）费</w:t>
            </w:r>
          </w:p>
        </w:tc>
        <w:tc>
          <w:tcPr>
            <w:tcW w:w="3460" w:type="dxa"/>
            <w:gridSpan w:val="3"/>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公务用车购置及运行费</w:t>
            </w:r>
          </w:p>
        </w:tc>
        <w:tc>
          <w:tcPr>
            <w:tcW w:w="930"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公务接待费</w:t>
            </w:r>
          </w:p>
        </w:tc>
      </w:tr>
      <w:tr>
        <w:tblPrEx>
          <w:tblLayout w:type="fixed"/>
          <w:tblCellMar>
            <w:top w:w="0" w:type="dxa"/>
            <w:left w:w="108" w:type="dxa"/>
            <w:bottom w:w="0" w:type="dxa"/>
            <w:right w:w="108" w:type="dxa"/>
          </w:tblCellMar>
        </w:tblPrEx>
        <w:trPr>
          <w:trHeight w:val="510" w:hRule="atLeast"/>
        </w:trPr>
        <w:tc>
          <w:tcPr>
            <w:tcW w:w="1392"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33"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公务用车购置费</w:t>
            </w: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公务用车运行费</w:t>
            </w:r>
          </w:p>
        </w:tc>
        <w:tc>
          <w:tcPr>
            <w:tcW w:w="1098"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196"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933"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06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公务用车购置费</w:t>
            </w: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公务用车运行费</w:t>
            </w:r>
          </w:p>
        </w:tc>
        <w:tc>
          <w:tcPr>
            <w:tcW w:w="930" w:type="dxa"/>
            <w:vMerge w:val="continue"/>
            <w:tcBorders>
              <w:top w:val="nil"/>
              <w:left w:val="nil"/>
              <w:bottom w:val="single" w:color="000000" w:sz="4" w:space="0"/>
              <w:right w:val="single" w:color="000000"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70" w:hRule="atLeast"/>
        </w:trPr>
        <w:tc>
          <w:tcPr>
            <w:tcW w:w="1392"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93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9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39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09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933"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068"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9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930"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Layout w:type="fixed"/>
          <w:tblCellMar>
            <w:top w:w="0" w:type="dxa"/>
            <w:left w:w="108" w:type="dxa"/>
            <w:bottom w:w="0" w:type="dxa"/>
            <w:right w:w="108" w:type="dxa"/>
          </w:tblCellMar>
        </w:tblPrEx>
        <w:trPr>
          <w:trHeight w:val="270" w:hRule="atLeast"/>
        </w:trPr>
        <w:tc>
          <w:tcPr>
            <w:tcW w:w="1392" w:type="dxa"/>
            <w:tcBorders>
              <w:top w:val="nil"/>
              <w:left w:val="single" w:color="000000" w:sz="4" w:space="0"/>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1,174,000.00</w:t>
            </w:r>
          </w:p>
        </w:tc>
        <w:tc>
          <w:tcPr>
            <w:tcW w:w="93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3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1,160,600.00</w:t>
            </w:r>
          </w:p>
        </w:tc>
        <w:tc>
          <w:tcPr>
            <w:tcW w:w="89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392"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1,160,600.00</w:t>
            </w:r>
          </w:p>
        </w:tc>
        <w:tc>
          <w:tcPr>
            <w:tcW w:w="109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13,400.00</w:t>
            </w:r>
          </w:p>
        </w:tc>
        <w:tc>
          <w:tcPr>
            <w:tcW w:w="11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606,473.95</w:t>
            </w:r>
          </w:p>
        </w:tc>
        <w:tc>
          <w:tcPr>
            <w:tcW w:w="933"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11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606,473.95</w:t>
            </w:r>
          </w:p>
        </w:tc>
        <w:tc>
          <w:tcPr>
            <w:tcW w:w="1068"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119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606,473.95</w:t>
            </w:r>
          </w:p>
        </w:tc>
        <w:tc>
          <w:tcPr>
            <w:tcW w:w="930"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360" w:lineRule="exact"/>
        <w:ind w:firstLine="108" w:firstLineChars="50"/>
        <w:rPr>
          <w:rFonts w:ascii="仿宋_GB2312" w:hAnsi="宋体" w:eastAsia="仿宋_GB2312"/>
          <w:sz w:val="22"/>
          <w:szCs w:val="22"/>
        </w:rPr>
      </w:pPr>
    </w:p>
    <w:p>
      <w:pPr>
        <w:spacing w:line="360" w:lineRule="exact"/>
        <w:ind w:firstLine="108" w:firstLineChars="50"/>
        <w:rPr>
          <w:rFonts w:ascii="仿宋_GB2312" w:hAnsi="宋体" w:eastAsia="仿宋_GB2312"/>
          <w:sz w:val="22"/>
          <w:szCs w:val="22"/>
        </w:rPr>
      </w:pPr>
      <w:r>
        <w:rPr>
          <w:rFonts w:hint="eastAsia" w:ascii="仿宋_GB2312" w:hAnsi="宋体" w:eastAsia="仿宋_GB2312"/>
          <w:sz w:val="22"/>
          <w:szCs w:val="22"/>
        </w:rPr>
        <w:t>注：本表反映部门本年度“三公”经费支出预决算情况。其中：预算数为“三公”经费年初预算数，决算数包括当年一般公共预算财政拨款</w:t>
      </w:r>
    </w:p>
    <w:p>
      <w:pPr>
        <w:spacing w:line="360" w:lineRule="exact"/>
        <w:ind w:firstLine="540" w:firstLineChars="250"/>
        <w:rPr>
          <w:rFonts w:ascii="仿宋_GB2312" w:hAnsi="宋体" w:eastAsia="仿宋_GB2312"/>
          <w:sz w:val="22"/>
          <w:szCs w:val="22"/>
        </w:rPr>
      </w:pPr>
      <w:r>
        <w:rPr>
          <w:rFonts w:hint="eastAsia" w:ascii="仿宋_GB2312" w:hAnsi="宋体" w:eastAsia="仿宋_GB2312"/>
          <w:sz w:val="22"/>
          <w:szCs w:val="22"/>
        </w:rPr>
        <w:t>和以前年度结转资金安排的实际支出。</w:t>
      </w: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Theme="minorEastAsia" w:hAnsiTheme="minorEastAsia" w:eastAsiaTheme="minorEastAsia"/>
          <w:sz w:val="24"/>
        </w:rPr>
      </w:pPr>
      <w:r>
        <w:rPr>
          <w:rFonts w:hint="eastAsia" w:asciiTheme="minorEastAsia" w:hAnsiTheme="minorEastAsia" w:eastAsiaTheme="minorEastAsia"/>
          <w:sz w:val="24"/>
        </w:rPr>
        <w:t>公开08表</w:t>
      </w:r>
    </w:p>
    <w:p>
      <w:pPr>
        <w:wordWrap w:val="0"/>
        <w:spacing w:line="400" w:lineRule="exact"/>
        <w:jc w:val="right"/>
        <w:rPr>
          <w:rFonts w:asciiTheme="minorEastAsia" w:hAnsiTheme="minorEastAsia" w:eastAsiaTheme="minorEastAsia"/>
          <w:sz w:val="24"/>
        </w:rPr>
      </w:pPr>
      <w:r>
        <w:rPr>
          <w:rFonts w:hint="eastAsia" w:asciiTheme="minorEastAsia" w:hAnsiTheme="minorEastAsia" w:eastAsiaTheme="minorEastAsia"/>
          <w:sz w:val="24"/>
        </w:rPr>
        <w:t>部门：青岛市市北区人民法院（汇总）                       2020年度                                 金额单位：元</w:t>
      </w:r>
    </w:p>
    <w:tbl>
      <w:tblPr>
        <w:tblStyle w:val="8"/>
        <w:tblpPr w:leftFromText="180" w:rightFromText="180" w:vertAnchor="text" w:tblpXSpec="center" w:tblpY="1"/>
        <w:tblOverlap w:val="never"/>
        <w:tblW w:w="13210" w:type="dxa"/>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Layout w:type="fixed"/>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731"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年初结转和结余</w:t>
            </w:r>
          </w:p>
        </w:tc>
        <w:tc>
          <w:tcPr>
            <w:tcW w:w="1707" w:type="dxa"/>
            <w:vMerge w:val="restart"/>
            <w:tcBorders>
              <w:top w:val="single" w:color="auto" w:sz="4" w:space="0"/>
              <w:left w:val="nil"/>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w:t>
            </w:r>
          </w:p>
        </w:tc>
        <w:tc>
          <w:tcPr>
            <w:tcW w:w="5124" w:type="dxa"/>
            <w:gridSpan w:val="3"/>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c>
          <w:tcPr>
            <w:tcW w:w="1791" w:type="dxa"/>
            <w:vMerge w:val="restart"/>
            <w:tcBorders>
              <w:top w:val="single" w:color="auto" w:sz="4" w:space="0"/>
              <w:left w:val="nil"/>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年末结转和结余</w:t>
            </w:r>
          </w:p>
        </w:tc>
      </w:tr>
      <w:tr>
        <w:tblPrEx>
          <w:tblLayout w:type="fixed"/>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31"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7" w:type="dxa"/>
            <w:vMerge w:val="continue"/>
            <w:tcBorders>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p>
        </w:tc>
        <w:tc>
          <w:tcPr>
            <w:tcW w:w="170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70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70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791" w:type="dxa"/>
            <w:vMerge w:val="continue"/>
            <w:tcBorders>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Layout w:type="fixed"/>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Layout w:type="fixed"/>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jc w:val="left"/>
        <w:rPr>
          <w:rFonts w:ascii="仿宋_GB2312" w:hAnsi="宋体" w:eastAsia="仿宋_GB2312"/>
          <w:sz w:val="22"/>
          <w:szCs w:val="22"/>
        </w:rPr>
      </w:pPr>
      <w:r>
        <w:rPr>
          <w:rFonts w:hint="eastAsia" w:ascii="仿宋_GB2312" w:hAnsi="宋体" w:eastAsia="仿宋_GB2312"/>
          <w:sz w:val="22"/>
          <w:szCs w:val="22"/>
        </w:rPr>
        <w:t>注：本表反映部门本年度政府性基金预算财政拨款收入、支出及结转和结余情况。</w:t>
      </w:r>
    </w:p>
    <w:p>
      <w:pPr>
        <w:jc w:val="center"/>
        <w:rPr>
          <w:rFonts w:ascii="方正小标宋简体" w:eastAsia="方正小标宋简体"/>
          <w:sz w:val="44"/>
          <w:szCs w:val="44"/>
        </w:rPr>
      </w:pPr>
    </w:p>
    <w:p>
      <w:pPr>
        <w:jc w:val="center"/>
        <w:rPr>
          <w:rFonts w:ascii="方正小标宋简体" w:hAnsi="宋体" w:eastAsia="方正小标宋简体"/>
          <w:b/>
          <w:sz w:val="36"/>
          <w:szCs w:val="36"/>
        </w:rPr>
      </w:pPr>
      <w:r>
        <w:rPr>
          <w:rFonts w:hint="eastAsia" w:ascii="方正小标宋简体" w:hAnsi="宋体" w:eastAsia="方正小标宋简体"/>
          <w:b/>
          <w:sz w:val="36"/>
          <w:szCs w:val="36"/>
        </w:rPr>
        <w:t>国有资本经营预算财政拨款支出决算表</w:t>
      </w:r>
    </w:p>
    <w:p>
      <w:pPr>
        <w:jc w:val="center"/>
        <w:rPr>
          <w:rFonts w:ascii="仿宋_GB2312" w:hAnsi="宋体" w:eastAsia="仿宋_GB2312"/>
          <w:sz w:val="22"/>
          <w:szCs w:val="22"/>
        </w:rPr>
      </w:pPr>
      <w:r>
        <w:rPr>
          <w:rFonts w:hint="eastAsia" w:ascii="仿宋_GB2312" w:hAnsi="宋体" w:eastAsia="仿宋_GB2312"/>
          <w:sz w:val="22"/>
          <w:szCs w:val="22"/>
        </w:rPr>
        <w:t xml:space="preserve">                                                                                     </w:t>
      </w:r>
      <w:r>
        <w:rPr>
          <w:rFonts w:hint="eastAsia" w:asciiTheme="minorEastAsia" w:hAnsiTheme="minorEastAsia" w:eastAsiaTheme="minorEastAsia"/>
          <w:sz w:val="24"/>
        </w:rPr>
        <w:t>公开09表</w:t>
      </w:r>
    </w:p>
    <w:p>
      <w:pPr>
        <w:wordWrap w:val="0"/>
        <w:spacing w:line="400" w:lineRule="exact"/>
        <w:ind w:right="472"/>
        <w:rPr>
          <w:rFonts w:asciiTheme="minorEastAsia" w:hAnsiTheme="minorEastAsia" w:eastAsiaTheme="minorEastAsia"/>
          <w:sz w:val="24"/>
        </w:rPr>
      </w:pPr>
      <w:r>
        <w:rPr>
          <w:rFonts w:hint="eastAsia" w:asciiTheme="minorEastAsia" w:hAnsiTheme="minorEastAsia" w:eastAsiaTheme="minorEastAsia"/>
          <w:sz w:val="24"/>
        </w:rPr>
        <w:t xml:space="preserve">           部门：青岛市市北区人民法院（汇总）               2020年度                    金额单位：元</w:t>
      </w:r>
    </w:p>
    <w:tbl>
      <w:tblPr>
        <w:tblStyle w:val="8"/>
        <w:tblW w:w="11481" w:type="dxa"/>
        <w:tblInd w:w="1101" w:type="dxa"/>
        <w:tblLayout w:type="fixed"/>
        <w:tblCellMar>
          <w:top w:w="0" w:type="dxa"/>
          <w:left w:w="108" w:type="dxa"/>
          <w:bottom w:w="0" w:type="dxa"/>
          <w:right w:w="108" w:type="dxa"/>
        </w:tblCellMar>
      </w:tblPr>
      <w:tblGrid>
        <w:gridCol w:w="3543"/>
        <w:gridCol w:w="2127"/>
        <w:gridCol w:w="2126"/>
        <w:gridCol w:w="1984"/>
        <w:gridCol w:w="1701"/>
      </w:tblGrid>
      <w:tr>
        <w:tblPrEx>
          <w:tblLayout w:type="fixed"/>
          <w:tblCellMar>
            <w:top w:w="0" w:type="dxa"/>
            <w:left w:w="108" w:type="dxa"/>
            <w:bottom w:w="0" w:type="dxa"/>
            <w:right w:w="108" w:type="dxa"/>
          </w:tblCellMar>
        </w:tblPrEx>
        <w:trPr>
          <w:trHeight w:val="255" w:hRule="atLeast"/>
        </w:trPr>
        <w:tc>
          <w:tcPr>
            <w:tcW w:w="5670" w:type="dxa"/>
            <w:gridSpan w:val="2"/>
            <w:tcBorders>
              <w:top w:val="single" w:color="auto" w:sz="4" w:space="0"/>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项目</w:t>
            </w:r>
          </w:p>
        </w:tc>
        <w:tc>
          <w:tcPr>
            <w:tcW w:w="5811" w:type="dxa"/>
            <w:gridSpan w:val="3"/>
            <w:tcBorders>
              <w:top w:val="single" w:color="auto" w:sz="4" w:space="0"/>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本年支出</w:t>
            </w:r>
          </w:p>
        </w:tc>
      </w:tr>
      <w:tr>
        <w:tblPrEx>
          <w:tblLayout w:type="fixed"/>
          <w:tblCellMar>
            <w:top w:w="0" w:type="dxa"/>
            <w:left w:w="108" w:type="dxa"/>
            <w:bottom w:w="0" w:type="dxa"/>
            <w:right w:w="108" w:type="dxa"/>
          </w:tblCellMar>
        </w:tblPrEx>
        <w:trPr>
          <w:trHeight w:val="610" w:hRule="atLeast"/>
        </w:trPr>
        <w:tc>
          <w:tcPr>
            <w:tcW w:w="3543"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功能分类科目编码</w:t>
            </w:r>
          </w:p>
        </w:tc>
        <w:tc>
          <w:tcPr>
            <w:tcW w:w="2127"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科目名称</w:t>
            </w:r>
          </w:p>
        </w:tc>
        <w:tc>
          <w:tcPr>
            <w:tcW w:w="2126"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1984"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基本支出</w:t>
            </w:r>
          </w:p>
        </w:tc>
        <w:tc>
          <w:tcPr>
            <w:tcW w:w="1701" w:type="dxa"/>
            <w:vMerge w:val="restart"/>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项目支出</w:t>
            </w:r>
          </w:p>
        </w:tc>
      </w:tr>
      <w:tr>
        <w:tblPrEx>
          <w:tblLayout w:type="fixed"/>
          <w:tblCellMar>
            <w:top w:w="0" w:type="dxa"/>
            <w:left w:w="108" w:type="dxa"/>
            <w:bottom w:w="0" w:type="dxa"/>
            <w:right w:w="108" w:type="dxa"/>
          </w:tblCellMar>
        </w:tblPrEx>
        <w:trPr>
          <w:trHeight w:val="610" w:hRule="atLeast"/>
        </w:trPr>
        <w:tc>
          <w:tcPr>
            <w:tcW w:w="35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21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21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70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610" w:hRule="atLeast"/>
        </w:trPr>
        <w:tc>
          <w:tcPr>
            <w:tcW w:w="354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kern w:val="0"/>
                <w:sz w:val="20"/>
                <w:szCs w:val="20"/>
              </w:rPr>
            </w:pPr>
          </w:p>
        </w:tc>
        <w:tc>
          <w:tcPr>
            <w:tcW w:w="21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2126"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984"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c>
          <w:tcPr>
            <w:tcW w:w="1701" w:type="dxa"/>
            <w:vMerge w:val="continue"/>
            <w:tcBorders>
              <w:top w:val="nil"/>
              <w:left w:val="nil"/>
              <w:bottom w:val="single" w:color="000000" w:sz="4" w:space="0"/>
              <w:right w:val="single" w:color="000000" w:sz="4" w:space="0"/>
            </w:tcBorders>
            <w:vAlign w:val="center"/>
          </w:tcPr>
          <w:p>
            <w:pPr>
              <w:widowControl/>
              <w:jc w:val="left"/>
              <w:rPr>
                <w:rFonts w:ascii="宋体" w:hAnsi="宋体" w:cs="Arial"/>
                <w:kern w:val="0"/>
                <w:sz w:val="20"/>
                <w:szCs w:val="20"/>
              </w:rPr>
            </w:pPr>
          </w:p>
        </w:tc>
      </w:tr>
      <w:tr>
        <w:tblPrEx>
          <w:tblLayout w:type="fixed"/>
          <w:tblCellMar>
            <w:top w:w="0" w:type="dxa"/>
            <w:left w:w="108" w:type="dxa"/>
            <w:bottom w:w="0" w:type="dxa"/>
            <w:right w:w="108" w:type="dxa"/>
          </w:tblCellMar>
        </w:tblPrEx>
        <w:trPr>
          <w:trHeight w:val="255" w:hRule="atLeast"/>
        </w:trPr>
        <w:tc>
          <w:tcPr>
            <w:tcW w:w="567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栏次</w:t>
            </w:r>
          </w:p>
        </w:tc>
        <w:tc>
          <w:tcPr>
            <w:tcW w:w="2126"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1</w:t>
            </w:r>
          </w:p>
        </w:tc>
        <w:tc>
          <w:tcPr>
            <w:tcW w:w="1984"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2</w:t>
            </w:r>
          </w:p>
        </w:tc>
        <w:tc>
          <w:tcPr>
            <w:tcW w:w="1701"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3</w:t>
            </w:r>
          </w:p>
        </w:tc>
      </w:tr>
      <w:tr>
        <w:tblPrEx>
          <w:tblLayout w:type="fixed"/>
          <w:tblCellMar>
            <w:top w:w="0" w:type="dxa"/>
            <w:left w:w="108" w:type="dxa"/>
            <w:bottom w:w="0" w:type="dxa"/>
            <w:right w:w="108" w:type="dxa"/>
          </w:tblCellMar>
        </w:tblPrEx>
        <w:trPr>
          <w:trHeight w:val="255" w:hRule="atLeast"/>
        </w:trPr>
        <w:tc>
          <w:tcPr>
            <w:tcW w:w="5670" w:type="dxa"/>
            <w:gridSpan w:val="2"/>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宋体" w:hAnsi="宋体" w:cs="Arial"/>
                <w:kern w:val="0"/>
                <w:sz w:val="20"/>
                <w:szCs w:val="20"/>
              </w:rPr>
            </w:pPr>
            <w:r>
              <w:rPr>
                <w:rFonts w:hint="eastAsia" w:ascii="宋体" w:hAnsi="宋体" w:cs="Arial"/>
                <w:kern w:val="0"/>
                <w:sz w:val="20"/>
                <w:szCs w:val="20"/>
              </w:rPr>
              <w:t>合计</w:t>
            </w:r>
          </w:p>
        </w:tc>
        <w:tc>
          <w:tcPr>
            <w:tcW w:w="212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98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b/>
                <w:bCs/>
                <w:kern w:val="0"/>
                <w:sz w:val="20"/>
                <w:szCs w:val="20"/>
              </w:rPr>
            </w:pPr>
            <w:r>
              <w:rPr>
                <w:rFonts w:hint="eastAsia" w:ascii="宋体" w:hAnsi="宋体" w:cs="Arial"/>
                <w:b/>
                <w:bCs/>
                <w:kern w:val="0"/>
                <w:sz w:val="20"/>
                <w:szCs w:val="20"/>
              </w:rPr>
              <w:t>　</w:t>
            </w:r>
          </w:p>
        </w:tc>
      </w:tr>
      <w:tr>
        <w:tblPrEx>
          <w:tblLayout w:type="fixed"/>
          <w:tblCellMar>
            <w:top w:w="0" w:type="dxa"/>
            <w:left w:w="108" w:type="dxa"/>
            <w:bottom w:w="0" w:type="dxa"/>
            <w:right w:w="108" w:type="dxa"/>
          </w:tblCellMar>
        </w:tblPrEx>
        <w:trPr>
          <w:trHeight w:val="255" w:hRule="atLeast"/>
        </w:trPr>
        <w:tc>
          <w:tcPr>
            <w:tcW w:w="3543" w:type="dxa"/>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127" w:type="dxa"/>
            <w:tcBorders>
              <w:top w:val="nil"/>
              <w:left w:val="nil"/>
              <w:bottom w:val="single" w:color="000000" w:sz="4" w:space="0"/>
              <w:right w:val="single" w:color="000000" w:sz="4" w:space="0"/>
            </w:tcBorders>
            <w:shd w:val="clear" w:color="000000" w:fill="FFFFFF"/>
            <w:vAlign w:val="center"/>
          </w:tcPr>
          <w:p>
            <w:pPr>
              <w:widowControl/>
              <w:jc w:val="left"/>
              <w:rPr>
                <w:rFonts w:ascii="宋体" w:hAnsi="宋体" w:cs="Arial"/>
                <w:kern w:val="0"/>
                <w:sz w:val="20"/>
                <w:szCs w:val="20"/>
              </w:rPr>
            </w:pPr>
            <w:r>
              <w:rPr>
                <w:rFonts w:hint="eastAsia" w:ascii="宋体" w:hAnsi="宋体" w:cs="Arial"/>
                <w:kern w:val="0"/>
                <w:sz w:val="20"/>
                <w:szCs w:val="20"/>
              </w:rPr>
              <w:t>　</w:t>
            </w:r>
          </w:p>
        </w:tc>
        <w:tc>
          <w:tcPr>
            <w:tcW w:w="2126"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984"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c>
          <w:tcPr>
            <w:tcW w:w="1701" w:type="dxa"/>
            <w:tcBorders>
              <w:top w:val="nil"/>
              <w:left w:val="nil"/>
              <w:bottom w:val="single" w:color="000000" w:sz="4" w:space="0"/>
              <w:right w:val="single" w:color="000000" w:sz="4" w:space="0"/>
            </w:tcBorders>
            <w:shd w:val="clear" w:color="000000" w:fill="FFFFFF"/>
            <w:vAlign w:val="center"/>
          </w:tcPr>
          <w:p>
            <w:pPr>
              <w:widowControl/>
              <w:jc w:val="right"/>
              <w:rPr>
                <w:rFonts w:ascii="宋体" w:hAnsi="宋体" w:cs="Arial"/>
                <w:kern w:val="0"/>
                <w:sz w:val="20"/>
                <w:szCs w:val="20"/>
              </w:rPr>
            </w:pPr>
            <w:r>
              <w:rPr>
                <w:rFonts w:hint="eastAsia" w:ascii="宋体" w:hAnsi="宋体" w:cs="Arial"/>
                <w:kern w:val="0"/>
                <w:sz w:val="20"/>
                <w:szCs w:val="20"/>
              </w:rPr>
              <w:t>　</w:t>
            </w:r>
          </w:p>
        </w:tc>
      </w:tr>
      <w:tr>
        <w:tblPrEx>
          <w:tblLayout w:type="fixed"/>
          <w:tblCellMar>
            <w:top w:w="0" w:type="dxa"/>
            <w:left w:w="108" w:type="dxa"/>
            <w:bottom w:w="0" w:type="dxa"/>
            <w:right w:w="108" w:type="dxa"/>
          </w:tblCellMar>
        </w:tblPrEx>
        <w:trPr>
          <w:trHeight w:val="255" w:hRule="atLeast"/>
        </w:trPr>
        <w:tc>
          <w:tcPr>
            <w:tcW w:w="11481" w:type="dxa"/>
            <w:gridSpan w:val="5"/>
            <w:tcBorders>
              <w:top w:val="nil"/>
              <w:left w:val="nil"/>
              <w:bottom w:val="nil"/>
              <w:right w:val="nil"/>
            </w:tcBorders>
            <w:shd w:val="clear" w:color="000000" w:fill="FFFFFF"/>
            <w:vAlign w:val="center"/>
          </w:tcPr>
          <w:p>
            <w:pPr>
              <w:widowControl/>
              <w:jc w:val="left"/>
              <w:rPr>
                <w:rFonts w:ascii="宋体" w:hAnsi="宋体" w:cs="Arial"/>
                <w:kern w:val="0"/>
                <w:sz w:val="20"/>
                <w:szCs w:val="20"/>
              </w:rPr>
            </w:pPr>
          </w:p>
        </w:tc>
      </w:tr>
    </w:tbl>
    <w:p>
      <w:pPr>
        <w:jc w:val="left"/>
        <w:rPr>
          <w:rFonts w:ascii="方正小标宋简体" w:eastAsia="方正小标宋简体"/>
          <w:sz w:val="44"/>
          <w:szCs w:val="44"/>
        </w:rPr>
      </w:pPr>
      <w:r>
        <w:rPr>
          <w:rFonts w:hint="eastAsia" w:ascii="宋体" w:hAnsi="宋体" w:cs="Arial"/>
          <w:kern w:val="0"/>
          <w:sz w:val="20"/>
          <w:szCs w:val="20"/>
        </w:rPr>
        <w:t xml:space="preserve">           注：本表反映部门本年度国有资本经营预算财政拨款支出情况。</w:t>
      </w: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第三部分</w:t>
      </w:r>
    </w:p>
    <w:p>
      <w:pPr>
        <w:rPr>
          <w:rFonts w:ascii="黑体" w:eastAsia="黑体"/>
          <w:sz w:val="52"/>
          <w:szCs w:val="52"/>
        </w:rPr>
      </w:pPr>
    </w:p>
    <w:p>
      <w:pPr>
        <w:rPr>
          <w:rFonts w:ascii="黑体" w:eastAsia="黑体"/>
          <w:sz w:val="52"/>
          <w:szCs w:val="52"/>
        </w:rPr>
      </w:pPr>
    </w:p>
    <w:p>
      <w:pPr>
        <w:ind w:left="277" w:leftChars="8" w:hanging="260" w:hangingChars="50"/>
        <w:jc w:val="center"/>
        <w:rPr>
          <w:rFonts w:ascii="黑体" w:eastAsia="黑体"/>
          <w:sz w:val="52"/>
          <w:szCs w:val="52"/>
        </w:rPr>
      </w:pPr>
      <w:r>
        <w:rPr>
          <w:rFonts w:hint="eastAsia" w:ascii="黑体" w:eastAsia="黑体"/>
          <w:sz w:val="52"/>
          <w:szCs w:val="52"/>
        </w:rPr>
        <w:t xml:space="preserve"> 2020年度部门决算情况             和重要事项说明</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一、2020年部门决算情况说明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（一）收入支出决算总体情况</w:t>
      </w:r>
    </w:p>
    <w:p>
      <w:pPr>
        <w:spacing w:line="58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sz w:val="32"/>
          <w:szCs w:val="32"/>
        </w:rPr>
        <w:t>青岛市市北区人民法院2020年度收入总计10036.66万元，青岛市市北区人民法院本级收入9640万元（含下属事业单位青岛市市北区人民法院司法鉴定委托管理中心人员经费404.45万元），青岛市市北区人民法院机关服务中心收入</w:t>
      </w:r>
      <w:r>
        <w:rPr>
          <w:rFonts w:hint="eastAsia" w:ascii="仿宋" w:hAnsi="仿宋" w:eastAsia="仿宋" w:cs="仿宋"/>
          <w:color w:val="000000" w:themeColor="text1"/>
          <w:sz w:val="32"/>
          <w:szCs w:val="32"/>
        </w:rPr>
        <w:t>396.66</w:t>
      </w:r>
      <w:r>
        <w:rPr>
          <w:rFonts w:hint="eastAsia" w:ascii="仿宋" w:hAnsi="仿宋" w:eastAsia="仿宋" w:cs="仿宋"/>
          <w:color w:val="000000"/>
          <w:sz w:val="32"/>
          <w:szCs w:val="32"/>
        </w:rPr>
        <w:t>万元</w:t>
      </w:r>
      <w:r>
        <w:rPr>
          <w:rFonts w:hint="eastAsia" w:ascii="仿宋" w:hAnsi="仿宋" w:eastAsia="仿宋" w:cs="仿宋"/>
          <w:color w:val="000000" w:themeColor="text1"/>
          <w:sz w:val="32"/>
          <w:szCs w:val="32"/>
        </w:rPr>
        <w:t>。</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青岛市市北区人民法院2020年度本年支出</w:t>
      </w:r>
      <w:r>
        <w:rPr>
          <w:rFonts w:hint="eastAsia" w:ascii="仿宋" w:hAnsi="仿宋" w:eastAsia="仿宋" w:cs="仿宋"/>
          <w:color w:val="000000" w:themeColor="text1"/>
          <w:sz w:val="32"/>
          <w:szCs w:val="32"/>
        </w:rPr>
        <w:t>10104.79</w:t>
      </w:r>
      <w:r>
        <w:rPr>
          <w:rFonts w:hint="eastAsia" w:ascii="仿宋" w:hAnsi="仿宋" w:eastAsia="仿宋" w:cs="仿宋"/>
          <w:color w:val="000000"/>
          <w:sz w:val="32"/>
          <w:szCs w:val="32"/>
        </w:rPr>
        <w:t>万元，包括：青岛市市北区人民法院本级支出9708.10万元（含下属青岛市市北区人民法院司法鉴定委托管理中心人员经费4</w:t>
      </w:r>
      <w:r>
        <w:rPr>
          <w:rFonts w:hint="eastAsia" w:ascii="仿宋" w:hAnsi="仿宋" w:eastAsia="仿宋" w:cs="仿宋"/>
          <w:color w:val="000000" w:themeColor="text1"/>
          <w:sz w:val="32"/>
          <w:szCs w:val="32"/>
        </w:rPr>
        <w:t>04.45</w:t>
      </w:r>
      <w:r>
        <w:rPr>
          <w:rFonts w:hint="eastAsia" w:ascii="仿宋" w:hAnsi="仿宋" w:eastAsia="仿宋" w:cs="仿宋"/>
          <w:color w:val="000000"/>
          <w:sz w:val="32"/>
          <w:szCs w:val="32"/>
        </w:rPr>
        <w:t>万元），青岛市市北区人民法院机关服务中心支出</w:t>
      </w:r>
      <w:r>
        <w:rPr>
          <w:rFonts w:hint="eastAsia" w:ascii="仿宋" w:hAnsi="仿宋" w:eastAsia="仿宋" w:cs="仿宋"/>
          <w:color w:val="000000" w:themeColor="text1"/>
          <w:sz w:val="32"/>
          <w:szCs w:val="32"/>
        </w:rPr>
        <w:t>396.69</w:t>
      </w:r>
      <w:r>
        <w:rPr>
          <w:rFonts w:hint="eastAsia" w:ascii="仿宋" w:hAnsi="仿宋" w:eastAsia="仿宋" w:cs="仿宋"/>
          <w:color w:val="000000"/>
          <w:sz w:val="32"/>
          <w:szCs w:val="32"/>
        </w:rPr>
        <w:t>万元。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与2019年相比，2020年全年总收入减少1733.08万元，降低14.72%；全年支出减少1611.98万元，降低13.76%。总体而言，本年收入较去年降幅较大，支出也相应减少，</w:t>
      </w:r>
      <w:r>
        <w:rPr>
          <w:rFonts w:hint="eastAsia" w:ascii="仿宋" w:hAnsi="仿宋" w:eastAsia="仿宋" w:cs="仿宋"/>
          <w:sz w:val="32"/>
          <w:szCs w:val="32"/>
        </w:rPr>
        <w:t>主要是人员经费支出和项目支出中电子卷宗集中扫描支出等办案业务费及资本性支出减少较大。</w:t>
      </w:r>
    </w:p>
    <w:p>
      <w:pPr>
        <w:spacing w:line="58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（二）收入决算情况</w:t>
      </w:r>
    </w:p>
    <w:p>
      <w:pPr>
        <w:spacing w:line="580" w:lineRule="exact"/>
        <w:ind w:firstLine="640" w:firstLineChars="200"/>
        <w:rPr>
          <w:rFonts w:ascii="仿宋_GB2312" w:eastAsia="仿宋_GB2312"/>
          <w:color w:val="000000" w:themeColor="text1"/>
          <w:sz w:val="32"/>
          <w:szCs w:val="32"/>
        </w:rPr>
      </w:pPr>
      <w:r>
        <w:rPr>
          <w:rFonts w:hint="eastAsia" w:ascii="仿宋" w:hAnsi="仿宋" w:eastAsia="仿宋" w:cs="仿宋"/>
          <w:color w:val="000000"/>
          <w:sz w:val="32"/>
          <w:szCs w:val="32"/>
        </w:rPr>
        <w:t>青岛市市北区人民法院2020年度收入总计10036.66万元，青岛市市北区人民法院本级收入9640万元（含下属事业单位青岛市市北区人民法院司法鉴定委托管理中心人员经费404.45万元），青岛市市北区人民法院机关服务中心收入</w:t>
      </w:r>
      <w:r>
        <w:rPr>
          <w:rFonts w:hint="eastAsia" w:ascii="仿宋" w:hAnsi="仿宋" w:eastAsia="仿宋" w:cs="仿宋"/>
          <w:color w:val="000000" w:themeColor="text1"/>
          <w:sz w:val="32"/>
          <w:szCs w:val="32"/>
        </w:rPr>
        <w:t>396.66</w:t>
      </w:r>
      <w:r>
        <w:rPr>
          <w:rFonts w:hint="eastAsia" w:ascii="仿宋" w:hAnsi="仿宋" w:eastAsia="仿宋" w:cs="仿宋"/>
          <w:color w:val="000000"/>
          <w:sz w:val="32"/>
          <w:szCs w:val="32"/>
        </w:rPr>
        <w:t>万元</w:t>
      </w:r>
      <w:r>
        <w:rPr>
          <w:rFonts w:hint="eastAsia" w:ascii="仿宋" w:hAnsi="仿宋" w:eastAsia="仿宋" w:cs="仿宋"/>
          <w:color w:val="000000" w:themeColor="text1"/>
          <w:sz w:val="32"/>
          <w:szCs w:val="32"/>
        </w:rPr>
        <w:t>。</w:t>
      </w:r>
      <w:r>
        <w:rPr>
          <w:rFonts w:hint="eastAsia" w:ascii="仿宋" w:hAnsi="仿宋" w:eastAsia="仿宋" w:cs="仿宋"/>
          <w:color w:val="000000"/>
          <w:sz w:val="32"/>
          <w:szCs w:val="32"/>
        </w:rPr>
        <w:t>全部为财政拨款收入</w:t>
      </w:r>
      <w:r>
        <w:rPr>
          <w:rFonts w:hint="eastAsia" w:ascii="仿宋" w:hAnsi="仿宋" w:eastAsia="仿宋" w:cs="仿宋"/>
          <w:sz w:val="32"/>
          <w:szCs w:val="32"/>
        </w:rPr>
        <w:t>。</w:t>
      </w:r>
    </w:p>
    <w:p>
      <w:pPr>
        <w:spacing w:line="580" w:lineRule="exact"/>
        <w:rPr>
          <w:rFonts w:ascii="楷体_GB2312" w:eastAsia="楷体_GB2312"/>
          <w:sz w:val="32"/>
          <w:szCs w:val="32"/>
        </w:rPr>
      </w:pPr>
      <w:r>
        <w:rPr>
          <w:rFonts w:hint="eastAsia" w:ascii="仿宋_GB2312" w:eastAsia="仿宋_GB2312"/>
          <w:b/>
          <w:sz w:val="32"/>
          <w:szCs w:val="32"/>
        </w:rPr>
        <w:t xml:space="preserve">   </w:t>
      </w:r>
      <w:r>
        <w:rPr>
          <w:rFonts w:hint="eastAsia" w:ascii="楷体_GB2312" w:eastAsia="楷体_GB2312"/>
          <w:sz w:val="32"/>
          <w:szCs w:val="32"/>
        </w:rPr>
        <w:t>（三）支出决算情况</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青岛市市北区人民法院2020年度本年支出</w:t>
      </w:r>
      <w:r>
        <w:rPr>
          <w:rFonts w:hint="eastAsia" w:ascii="仿宋" w:hAnsi="仿宋" w:eastAsia="仿宋" w:cs="仿宋"/>
          <w:color w:val="000000" w:themeColor="text1"/>
          <w:sz w:val="32"/>
          <w:szCs w:val="32"/>
        </w:rPr>
        <w:t>10104.79</w:t>
      </w:r>
      <w:r>
        <w:rPr>
          <w:rFonts w:hint="eastAsia" w:ascii="仿宋" w:hAnsi="仿宋" w:eastAsia="仿宋" w:cs="仿宋"/>
          <w:color w:val="000000"/>
          <w:sz w:val="32"/>
          <w:szCs w:val="32"/>
        </w:rPr>
        <w:t>万元，包括：青岛市市北区人民法院本级支出9708.10万元（含下属青岛市市北区人民法院司法鉴定委托管理中心人员经费4</w:t>
      </w:r>
      <w:r>
        <w:rPr>
          <w:rFonts w:hint="eastAsia" w:ascii="仿宋" w:hAnsi="仿宋" w:eastAsia="仿宋" w:cs="仿宋"/>
          <w:color w:val="000000" w:themeColor="text1"/>
          <w:sz w:val="32"/>
          <w:szCs w:val="32"/>
        </w:rPr>
        <w:t>04.45</w:t>
      </w:r>
      <w:r>
        <w:rPr>
          <w:rFonts w:hint="eastAsia" w:ascii="仿宋" w:hAnsi="仿宋" w:eastAsia="仿宋" w:cs="仿宋"/>
          <w:color w:val="000000"/>
          <w:sz w:val="32"/>
          <w:szCs w:val="32"/>
        </w:rPr>
        <w:t>万元），青岛市市北区人民法院机关服务中心支出</w:t>
      </w:r>
      <w:r>
        <w:rPr>
          <w:rFonts w:hint="eastAsia" w:ascii="仿宋" w:hAnsi="仿宋" w:eastAsia="仿宋" w:cs="仿宋"/>
          <w:color w:val="000000" w:themeColor="text1"/>
          <w:sz w:val="32"/>
          <w:szCs w:val="32"/>
        </w:rPr>
        <w:t>396.69</w:t>
      </w:r>
      <w:r>
        <w:rPr>
          <w:rFonts w:hint="eastAsia" w:ascii="仿宋" w:hAnsi="仿宋" w:eastAsia="仿宋" w:cs="仿宋"/>
          <w:color w:val="000000"/>
          <w:sz w:val="32"/>
          <w:szCs w:val="32"/>
        </w:rPr>
        <w:t>万元。</w:t>
      </w:r>
      <w:r>
        <w:rPr>
          <w:rFonts w:hint="eastAsia" w:ascii="仿宋" w:hAnsi="仿宋" w:eastAsia="仿宋" w:cs="仿宋"/>
          <w:sz w:val="32"/>
          <w:szCs w:val="32"/>
        </w:rPr>
        <w:t>其中：基本支出7292.74万元，占72.17%；项目支出2812.05万元，占27.83%。</w:t>
      </w:r>
    </w:p>
    <w:p>
      <w:pPr>
        <w:spacing w:line="580" w:lineRule="exact"/>
        <w:rPr>
          <w:rFonts w:ascii="楷体_GB2312" w:eastAsia="楷体_GB2312"/>
          <w:sz w:val="32"/>
          <w:szCs w:val="32"/>
        </w:rPr>
      </w:pPr>
      <w:r>
        <w:rPr>
          <w:rFonts w:hint="eastAsia" w:ascii="仿宋_GB2312" w:eastAsia="仿宋_GB2312"/>
          <w:b/>
          <w:sz w:val="32"/>
          <w:szCs w:val="32"/>
        </w:rPr>
        <w:t xml:space="preserve">   </w:t>
      </w:r>
      <w:r>
        <w:rPr>
          <w:rFonts w:hint="eastAsia" w:ascii="楷体_GB2312" w:eastAsia="楷体_GB2312"/>
          <w:sz w:val="32"/>
          <w:szCs w:val="32"/>
        </w:rPr>
        <w:t>（四）财政拨款收入支出决算总体情况</w:t>
      </w:r>
    </w:p>
    <w:p>
      <w:pPr>
        <w:spacing w:line="580" w:lineRule="exact"/>
        <w:ind w:firstLine="640" w:firstLineChars="200"/>
        <w:rPr>
          <w:rFonts w:hint="eastAsia" w:ascii="仿宋" w:hAnsi="仿宋" w:eastAsia="仿宋" w:cs="仿宋"/>
          <w:b/>
          <w:color w:val="000000"/>
          <w:sz w:val="32"/>
          <w:szCs w:val="32"/>
        </w:rPr>
      </w:pPr>
      <w:r>
        <w:rPr>
          <w:rFonts w:hint="eastAsia" w:ascii="仿宋" w:hAnsi="仿宋" w:eastAsia="仿宋" w:cs="仿宋"/>
          <w:color w:val="000000"/>
          <w:sz w:val="32"/>
          <w:szCs w:val="32"/>
        </w:rPr>
        <w:t>青岛市市北区人民法院2020年度财政拨款收入决算总计11527.91万元，包括：青岛市市北区人民法院本级收入11051.2万元，（含下属事业单位青岛市市北区人民法院司法鉴定委托管理中心人员经费4</w:t>
      </w:r>
      <w:r>
        <w:rPr>
          <w:rFonts w:hint="eastAsia" w:ascii="仿宋" w:hAnsi="仿宋" w:eastAsia="仿宋" w:cs="仿宋"/>
          <w:color w:val="000000" w:themeColor="text1"/>
          <w:sz w:val="32"/>
          <w:szCs w:val="32"/>
        </w:rPr>
        <w:t>04.45</w:t>
      </w:r>
      <w:r>
        <w:rPr>
          <w:rFonts w:hint="eastAsia" w:ascii="仿宋" w:hAnsi="仿宋" w:eastAsia="仿宋" w:cs="仿宋"/>
          <w:color w:val="000000"/>
          <w:sz w:val="32"/>
          <w:szCs w:val="32"/>
        </w:rPr>
        <w:t>万元），青岛市市北区人民法院机关服务中心收入476.71万元。其中：一般公共预算财政拨款10036.66万元，占87.06%，包括：青岛市市北区人民法院本级一般公共预算财政拨款</w:t>
      </w:r>
      <w:r>
        <w:rPr>
          <w:rFonts w:hint="eastAsia" w:ascii="仿宋" w:hAnsi="仿宋" w:eastAsia="仿宋" w:cs="仿宋"/>
          <w:color w:val="000000" w:themeColor="text1"/>
          <w:sz w:val="32"/>
          <w:szCs w:val="32"/>
        </w:rPr>
        <w:t>9640</w:t>
      </w:r>
      <w:r>
        <w:rPr>
          <w:rFonts w:hint="eastAsia" w:ascii="仿宋" w:hAnsi="仿宋" w:eastAsia="仿宋" w:cs="仿宋"/>
          <w:color w:val="000000"/>
          <w:sz w:val="32"/>
          <w:szCs w:val="32"/>
        </w:rPr>
        <w:t>万元（含下属事业单位青岛市市北区人民法院司法鉴定委托管理中心人员经费4</w:t>
      </w:r>
      <w:r>
        <w:rPr>
          <w:rFonts w:hint="eastAsia" w:ascii="仿宋" w:hAnsi="仿宋" w:eastAsia="仿宋" w:cs="仿宋"/>
          <w:color w:val="000000" w:themeColor="text1"/>
          <w:sz w:val="32"/>
          <w:szCs w:val="32"/>
        </w:rPr>
        <w:t>04.45</w:t>
      </w:r>
      <w:r>
        <w:rPr>
          <w:rFonts w:hint="eastAsia" w:ascii="仿宋" w:hAnsi="仿宋" w:eastAsia="仿宋" w:cs="仿宋"/>
          <w:color w:val="000000"/>
          <w:sz w:val="32"/>
          <w:szCs w:val="32"/>
        </w:rPr>
        <w:t>万元），青岛市市北区人民法院机关服务中心</w:t>
      </w:r>
      <w:r>
        <w:rPr>
          <w:rFonts w:hint="eastAsia" w:ascii="仿宋" w:hAnsi="仿宋" w:eastAsia="仿宋" w:cs="仿宋"/>
          <w:color w:val="000000" w:themeColor="text1"/>
          <w:sz w:val="32"/>
          <w:szCs w:val="32"/>
        </w:rPr>
        <w:t>396.66</w:t>
      </w:r>
      <w:r>
        <w:rPr>
          <w:rFonts w:hint="eastAsia" w:ascii="仿宋" w:hAnsi="仿宋" w:eastAsia="仿宋" w:cs="仿宋"/>
          <w:color w:val="000000"/>
          <w:sz w:val="32"/>
          <w:szCs w:val="32"/>
        </w:rPr>
        <w:t>万元；无政府性基金预算财政拨款和国有资本经营预算财政拨款；年初财政拨款结转和结余1</w:t>
      </w:r>
      <w:r>
        <w:rPr>
          <w:rFonts w:hint="eastAsia" w:ascii="仿宋" w:hAnsi="仿宋" w:eastAsia="仿宋" w:cs="仿宋"/>
          <w:color w:val="000000" w:themeColor="text1"/>
          <w:sz w:val="32"/>
          <w:szCs w:val="32"/>
        </w:rPr>
        <w:t>491.25</w:t>
      </w:r>
      <w:r>
        <w:rPr>
          <w:rFonts w:hint="eastAsia" w:ascii="仿宋" w:hAnsi="仿宋" w:eastAsia="仿宋" w:cs="仿宋"/>
          <w:color w:val="000000"/>
          <w:sz w:val="32"/>
          <w:szCs w:val="32"/>
        </w:rPr>
        <w:t>万元，占12.94%，包括：青岛市市北区人民法院本级</w:t>
      </w:r>
      <w:r>
        <w:rPr>
          <w:rFonts w:hint="eastAsia" w:ascii="仿宋" w:hAnsi="仿宋" w:eastAsia="仿宋" w:cs="仿宋"/>
          <w:color w:val="000000" w:themeColor="text1"/>
          <w:sz w:val="32"/>
          <w:szCs w:val="32"/>
        </w:rPr>
        <w:t>1411.2</w:t>
      </w:r>
      <w:r>
        <w:rPr>
          <w:rFonts w:hint="eastAsia" w:ascii="仿宋" w:hAnsi="仿宋" w:eastAsia="仿宋" w:cs="仿宋"/>
          <w:color w:val="000000"/>
          <w:sz w:val="32"/>
          <w:szCs w:val="32"/>
        </w:rPr>
        <w:t>万元，青岛市市北区人民法院机关服务中心</w:t>
      </w:r>
      <w:r>
        <w:rPr>
          <w:rFonts w:hint="eastAsia" w:ascii="仿宋" w:hAnsi="仿宋" w:eastAsia="仿宋" w:cs="仿宋"/>
          <w:color w:val="000000" w:themeColor="text1"/>
          <w:sz w:val="32"/>
          <w:szCs w:val="32"/>
        </w:rPr>
        <w:t>80.05</w:t>
      </w:r>
      <w:r>
        <w:rPr>
          <w:rFonts w:hint="eastAsia" w:ascii="仿宋" w:hAnsi="仿宋" w:eastAsia="仿宋" w:cs="仿宋"/>
          <w:color w:val="000000"/>
          <w:sz w:val="32"/>
          <w:szCs w:val="32"/>
        </w:rPr>
        <w:t>万元。</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青岛市市北区人民法院2020年度财政拨款支出决算总计11527.91万元，其中：财政拨款公共安全支出</w:t>
      </w:r>
      <w:r>
        <w:rPr>
          <w:rFonts w:hint="eastAsia" w:ascii="仿宋" w:hAnsi="仿宋" w:eastAsia="仿宋" w:cs="仿宋"/>
          <w:color w:val="000000" w:themeColor="text1"/>
          <w:sz w:val="32"/>
          <w:szCs w:val="32"/>
        </w:rPr>
        <w:t>9724.12</w:t>
      </w:r>
      <w:r>
        <w:rPr>
          <w:rFonts w:hint="eastAsia" w:ascii="仿宋" w:hAnsi="仿宋" w:eastAsia="仿宋" w:cs="仿宋"/>
          <w:color w:val="000000"/>
          <w:sz w:val="32"/>
          <w:szCs w:val="32"/>
        </w:rPr>
        <w:t>万元（青岛市市北区人民法院本级支出9358.30万元（其中含下属事业单位青岛市市北区人民法院司法鉴定委托管理中心人员经费4</w:t>
      </w:r>
      <w:r>
        <w:rPr>
          <w:rFonts w:hint="eastAsia" w:ascii="仿宋" w:hAnsi="仿宋" w:eastAsia="仿宋" w:cs="仿宋"/>
          <w:color w:val="000000" w:themeColor="text1"/>
          <w:sz w:val="32"/>
          <w:szCs w:val="32"/>
        </w:rPr>
        <w:t>04.45</w:t>
      </w:r>
      <w:r>
        <w:rPr>
          <w:rFonts w:hint="eastAsia" w:ascii="仿宋" w:hAnsi="仿宋" w:eastAsia="仿宋" w:cs="仿宋"/>
          <w:color w:val="000000"/>
          <w:sz w:val="32"/>
          <w:szCs w:val="32"/>
        </w:rPr>
        <w:t>万元），青岛市市北区人民法院机关服务中心支出</w:t>
      </w:r>
      <w:r>
        <w:rPr>
          <w:rFonts w:hint="eastAsia" w:ascii="仿宋" w:hAnsi="仿宋" w:eastAsia="仿宋" w:cs="仿宋"/>
          <w:color w:val="000000" w:themeColor="text1"/>
          <w:sz w:val="32"/>
          <w:szCs w:val="32"/>
        </w:rPr>
        <w:t>365.82</w:t>
      </w:r>
      <w:r>
        <w:rPr>
          <w:rFonts w:hint="eastAsia" w:ascii="仿宋" w:hAnsi="仿宋" w:eastAsia="仿宋" w:cs="仿宋"/>
          <w:color w:val="000000"/>
          <w:sz w:val="32"/>
          <w:szCs w:val="32"/>
        </w:rPr>
        <w:t>万元），占84.35%；财政拨款社会保障和就业支出380.68万元（注：该项为政法编制干警社保缴费，以前年度归并至公共安全支出中的基本支出，本年度单列）其中：青岛市市北区人民法院本级支出349.8万元，青岛市市北区人民法院机关服务中心支出</w:t>
      </w:r>
      <w:r>
        <w:rPr>
          <w:rFonts w:hint="eastAsia" w:ascii="仿宋" w:hAnsi="仿宋" w:eastAsia="仿宋" w:cs="仿宋"/>
          <w:color w:val="000000" w:themeColor="text1"/>
          <w:sz w:val="32"/>
          <w:szCs w:val="32"/>
        </w:rPr>
        <w:t>30.88</w:t>
      </w:r>
      <w:r>
        <w:rPr>
          <w:rFonts w:hint="eastAsia" w:ascii="仿宋" w:hAnsi="仿宋" w:eastAsia="仿宋" w:cs="仿宋"/>
          <w:color w:val="000000"/>
          <w:sz w:val="32"/>
          <w:szCs w:val="32"/>
        </w:rPr>
        <w:t>万元，占3.30%；年末财政拨款结转和结余1</w:t>
      </w:r>
      <w:r>
        <w:rPr>
          <w:rFonts w:hint="eastAsia" w:ascii="仿宋" w:hAnsi="仿宋" w:eastAsia="仿宋" w:cs="仿宋"/>
          <w:color w:val="000000" w:themeColor="text1"/>
          <w:sz w:val="32"/>
          <w:szCs w:val="32"/>
        </w:rPr>
        <w:t>423.12</w:t>
      </w:r>
      <w:r>
        <w:rPr>
          <w:rFonts w:hint="eastAsia" w:ascii="仿宋" w:hAnsi="仿宋" w:eastAsia="仿宋" w:cs="仿宋"/>
          <w:color w:val="000000"/>
          <w:sz w:val="32"/>
          <w:szCs w:val="32"/>
        </w:rPr>
        <w:t>万元（包括：青岛市市北区人民法院本级结余1</w:t>
      </w:r>
      <w:r>
        <w:rPr>
          <w:rFonts w:hint="eastAsia" w:ascii="仿宋" w:hAnsi="仿宋" w:eastAsia="仿宋" w:cs="仿宋"/>
          <w:color w:val="000000" w:themeColor="text1"/>
          <w:sz w:val="32"/>
          <w:szCs w:val="32"/>
        </w:rPr>
        <w:t>343.1</w:t>
      </w:r>
      <w:r>
        <w:rPr>
          <w:rFonts w:hint="eastAsia" w:ascii="仿宋" w:hAnsi="仿宋" w:eastAsia="仿宋" w:cs="仿宋"/>
          <w:color w:val="000000"/>
          <w:sz w:val="32"/>
          <w:szCs w:val="32"/>
        </w:rPr>
        <w:t>万元，青岛市市北区人民法院机关服务中心</w:t>
      </w:r>
      <w:r>
        <w:rPr>
          <w:rFonts w:hint="eastAsia" w:ascii="仿宋" w:hAnsi="仿宋" w:eastAsia="仿宋" w:cs="仿宋"/>
          <w:color w:val="000000" w:themeColor="text1"/>
          <w:sz w:val="32"/>
          <w:szCs w:val="32"/>
        </w:rPr>
        <w:t>80.02</w:t>
      </w:r>
      <w:r>
        <w:rPr>
          <w:rFonts w:hint="eastAsia" w:ascii="仿宋" w:hAnsi="仿宋" w:eastAsia="仿宋" w:cs="仿宋"/>
          <w:color w:val="000000"/>
          <w:sz w:val="32"/>
          <w:szCs w:val="32"/>
        </w:rPr>
        <w:t>万元），占1</w:t>
      </w:r>
      <w:r>
        <w:rPr>
          <w:rFonts w:hint="eastAsia" w:ascii="仿宋" w:hAnsi="仿宋" w:eastAsia="仿宋" w:cs="仿宋"/>
          <w:color w:val="000000" w:themeColor="text1"/>
          <w:sz w:val="32"/>
          <w:szCs w:val="32"/>
        </w:rPr>
        <w:t>2.35</w:t>
      </w:r>
      <w:r>
        <w:rPr>
          <w:rFonts w:hint="eastAsia" w:ascii="仿宋" w:hAnsi="仿宋" w:eastAsia="仿宋" w:cs="仿宋"/>
          <w:color w:val="000000"/>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与2019年相比，</w:t>
      </w: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财政拨款收、支总计各减少1680.17万元，降幅12.72%。主要是较去年减少了人员经费支出，除此之外按照上级要求相关办案办公费用及资本性支出也相应压减。</w:t>
      </w:r>
    </w:p>
    <w:p>
      <w:pPr>
        <w:spacing w:line="580" w:lineRule="exact"/>
        <w:ind w:firstLine="600"/>
        <w:rPr>
          <w:rFonts w:ascii="楷体_GB2312" w:eastAsia="楷体_GB2312"/>
          <w:sz w:val="32"/>
          <w:szCs w:val="32"/>
        </w:rPr>
      </w:pPr>
      <w:r>
        <w:rPr>
          <w:rFonts w:hint="eastAsia" w:ascii="楷体_GB2312" w:eastAsia="楷体_GB2312"/>
          <w:sz w:val="32"/>
          <w:szCs w:val="32"/>
        </w:rPr>
        <w:t>（五）一般公共预算财政拨款支出决算情况</w:t>
      </w:r>
    </w:p>
    <w:p>
      <w:pPr>
        <w:spacing w:line="580" w:lineRule="exact"/>
        <w:ind w:firstLine="640" w:firstLineChars="200"/>
        <w:rPr>
          <w:rFonts w:hint="eastAsia" w:ascii="仿宋" w:hAnsi="仿宋" w:eastAsia="仿宋" w:cs="仿宋"/>
          <w:b/>
          <w:bCs/>
          <w:sz w:val="32"/>
          <w:szCs w:val="32"/>
        </w:rPr>
      </w:pPr>
      <w:r>
        <w:rPr>
          <w:rFonts w:hint="eastAsia" w:ascii="仿宋" w:hAnsi="仿宋" w:eastAsia="仿宋" w:cs="仿宋"/>
          <w:b/>
          <w:bCs/>
          <w:sz w:val="32"/>
          <w:szCs w:val="32"/>
        </w:rPr>
        <w:t>1、一般公共预算财政拨款支出决算总体情况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青岛市市北区人民法院2020年度本年支出</w:t>
      </w:r>
      <w:r>
        <w:rPr>
          <w:rFonts w:hint="eastAsia" w:ascii="仿宋" w:hAnsi="仿宋" w:eastAsia="仿宋" w:cs="仿宋"/>
          <w:color w:val="000000" w:themeColor="text1"/>
          <w:sz w:val="32"/>
          <w:szCs w:val="32"/>
        </w:rPr>
        <w:t>10104.79</w:t>
      </w:r>
      <w:r>
        <w:rPr>
          <w:rFonts w:hint="eastAsia" w:ascii="仿宋" w:hAnsi="仿宋" w:eastAsia="仿宋" w:cs="仿宋"/>
          <w:color w:val="000000"/>
          <w:sz w:val="32"/>
          <w:szCs w:val="32"/>
        </w:rPr>
        <w:t>万元，包括：青岛市市北区人民法院本级支出9708.10万元（含下属青岛市市北区人民法院司法鉴定委托管理中心人员经费4</w:t>
      </w:r>
      <w:r>
        <w:rPr>
          <w:rFonts w:hint="eastAsia" w:ascii="仿宋" w:hAnsi="仿宋" w:eastAsia="仿宋" w:cs="仿宋"/>
          <w:color w:val="000000" w:themeColor="text1"/>
          <w:sz w:val="32"/>
          <w:szCs w:val="32"/>
        </w:rPr>
        <w:t>04.45</w:t>
      </w:r>
      <w:r>
        <w:rPr>
          <w:rFonts w:hint="eastAsia" w:ascii="仿宋" w:hAnsi="仿宋" w:eastAsia="仿宋" w:cs="仿宋"/>
          <w:color w:val="000000"/>
          <w:sz w:val="32"/>
          <w:szCs w:val="32"/>
        </w:rPr>
        <w:t>万元），青岛市市北区人民法院机关服务中心支出</w:t>
      </w:r>
      <w:r>
        <w:rPr>
          <w:rFonts w:hint="eastAsia" w:ascii="仿宋" w:hAnsi="仿宋" w:eastAsia="仿宋" w:cs="仿宋"/>
          <w:color w:val="000000" w:themeColor="text1"/>
          <w:sz w:val="32"/>
          <w:szCs w:val="32"/>
        </w:rPr>
        <w:t>396.69</w:t>
      </w:r>
      <w:r>
        <w:rPr>
          <w:rFonts w:hint="eastAsia" w:ascii="仿宋" w:hAnsi="仿宋" w:eastAsia="仿宋" w:cs="仿宋"/>
          <w:color w:val="000000"/>
          <w:sz w:val="32"/>
          <w:szCs w:val="32"/>
        </w:rPr>
        <w:t>万元。</w:t>
      </w:r>
      <w:r>
        <w:rPr>
          <w:rFonts w:hint="eastAsia" w:ascii="仿宋" w:hAnsi="仿宋" w:eastAsia="仿宋" w:cs="仿宋"/>
          <w:sz w:val="32"/>
          <w:szCs w:val="32"/>
        </w:rPr>
        <w:t>本年支出全部为一般公共预算财政拨款支出。</w:t>
      </w:r>
    </w:p>
    <w:p>
      <w:pPr>
        <w:spacing w:line="580" w:lineRule="exact"/>
        <w:ind w:firstLine="640" w:firstLineChars="200"/>
        <w:rPr>
          <w:rFonts w:ascii="仿宋_GB2312" w:eastAsia="仿宋_GB2312"/>
          <w:sz w:val="32"/>
          <w:szCs w:val="32"/>
        </w:rPr>
      </w:pPr>
      <w:r>
        <w:rPr>
          <w:rFonts w:hint="eastAsia" w:ascii="仿宋" w:hAnsi="仿宋" w:eastAsia="仿宋" w:cs="仿宋"/>
          <w:sz w:val="32"/>
          <w:szCs w:val="32"/>
        </w:rPr>
        <w:t>与2019年相比，一般公共预算财政拨款支出</w:t>
      </w:r>
      <w:r>
        <w:rPr>
          <w:rFonts w:hint="eastAsia" w:ascii="仿宋" w:hAnsi="仿宋" w:eastAsia="仿宋" w:cs="仿宋"/>
          <w:color w:val="000000"/>
          <w:sz w:val="32"/>
          <w:szCs w:val="32"/>
        </w:rPr>
        <w:t>减少1611.98万元，降低13.76%。</w:t>
      </w:r>
      <w:r>
        <w:rPr>
          <w:rFonts w:hint="eastAsia" w:ascii="仿宋" w:hAnsi="仿宋" w:eastAsia="仿宋" w:cs="仿宋"/>
          <w:sz w:val="32"/>
          <w:szCs w:val="32"/>
        </w:rPr>
        <w:t>主要是较去年减少了人员经费支出，除此之外按照上级要求相关办案办公费用及资本性支出也相应压减。</w:t>
      </w:r>
    </w:p>
    <w:p>
      <w:pPr>
        <w:spacing w:line="580" w:lineRule="exact"/>
        <w:ind w:firstLine="640" w:firstLineChars="200"/>
        <w:rPr>
          <w:rFonts w:hint="eastAsia" w:ascii="仿宋" w:hAnsi="仿宋" w:eastAsia="仿宋" w:cs="仿宋"/>
          <w:b/>
          <w:bCs w:val="0"/>
          <w:sz w:val="32"/>
          <w:szCs w:val="32"/>
        </w:rPr>
      </w:pPr>
      <w:r>
        <w:rPr>
          <w:rFonts w:hint="eastAsia" w:ascii="仿宋" w:hAnsi="仿宋" w:eastAsia="仿宋" w:cs="仿宋"/>
          <w:b/>
          <w:bCs w:val="0"/>
          <w:sz w:val="32"/>
          <w:szCs w:val="32"/>
        </w:rPr>
        <w:t>2、一般公共预算财政拨款支出决算结构情况</w:t>
      </w:r>
    </w:p>
    <w:p>
      <w:pPr>
        <w:spacing w:line="58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青岛市市北区人民法院2020年度本年支出</w:t>
      </w:r>
      <w:r>
        <w:rPr>
          <w:rFonts w:hint="eastAsia" w:ascii="仿宋" w:hAnsi="仿宋" w:eastAsia="仿宋" w:cs="仿宋"/>
          <w:color w:val="000000" w:themeColor="text1"/>
          <w:sz w:val="32"/>
          <w:szCs w:val="32"/>
        </w:rPr>
        <w:t>10104.79</w:t>
      </w:r>
      <w:r>
        <w:rPr>
          <w:rFonts w:hint="eastAsia" w:ascii="仿宋" w:hAnsi="仿宋" w:eastAsia="仿宋" w:cs="仿宋"/>
          <w:color w:val="000000"/>
          <w:sz w:val="32"/>
          <w:szCs w:val="32"/>
        </w:rPr>
        <w:t>万元，包括：青岛市市北区人民法院本级支出9708.10万元（含下属青岛市市北区人民法院司法鉴定委托管理中心人员经费4</w:t>
      </w:r>
      <w:r>
        <w:rPr>
          <w:rFonts w:hint="eastAsia" w:ascii="仿宋" w:hAnsi="仿宋" w:eastAsia="仿宋" w:cs="仿宋"/>
          <w:color w:val="000000" w:themeColor="text1"/>
          <w:sz w:val="32"/>
          <w:szCs w:val="32"/>
        </w:rPr>
        <w:t>04.45</w:t>
      </w:r>
      <w:r>
        <w:rPr>
          <w:rFonts w:hint="eastAsia" w:ascii="仿宋" w:hAnsi="仿宋" w:eastAsia="仿宋" w:cs="仿宋"/>
          <w:color w:val="000000"/>
          <w:sz w:val="32"/>
          <w:szCs w:val="32"/>
        </w:rPr>
        <w:t>万元），青岛市市北区人民法院机关服务中心支出</w:t>
      </w:r>
      <w:r>
        <w:rPr>
          <w:rFonts w:hint="eastAsia" w:ascii="仿宋" w:hAnsi="仿宋" w:eastAsia="仿宋" w:cs="仿宋"/>
          <w:color w:val="000000" w:themeColor="text1"/>
          <w:sz w:val="32"/>
          <w:szCs w:val="32"/>
        </w:rPr>
        <w:t>396.69</w:t>
      </w:r>
      <w:r>
        <w:rPr>
          <w:rFonts w:hint="eastAsia" w:ascii="仿宋" w:hAnsi="仿宋" w:eastAsia="仿宋" w:cs="仿宋"/>
          <w:color w:val="000000"/>
          <w:sz w:val="32"/>
          <w:szCs w:val="32"/>
        </w:rPr>
        <w:t>万元。</w:t>
      </w:r>
    </w:p>
    <w:p>
      <w:pPr>
        <w:spacing w:line="58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按单位组成划分，法院本级与下属事业单位支出所占比重分别为96.07%和3.93%，显而易见，法院本级承担了事权开支中的绝大部分费用；</w:t>
      </w:r>
    </w:p>
    <w:p>
      <w:pPr>
        <w:spacing w:line="580" w:lineRule="exac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按经费支出类别划分</w:t>
      </w:r>
      <w:r>
        <w:rPr>
          <w:rFonts w:hint="eastAsia" w:ascii="仿宋" w:hAnsi="仿宋" w:eastAsia="仿宋" w:cs="仿宋"/>
          <w:sz w:val="32"/>
          <w:szCs w:val="32"/>
        </w:rPr>
        <w:t>：基本支出7292.74万元，占72.17%，项目支出2812.05万元，占27.83%。</w:t>
      </w:r>
    </w:p>
    <w:p>
      <w:pPr>
        <w:spacing w:line="580" w:lineRule="exact"/>
        <w:ind w:firstLine="640" w:firstLineChars="200"/>
        <w:rPr>
          <w:rFonts w:ascii="仿宋_GB2312" w:eastAsia="仿宋_GB2312"/>
          <w:b/>
          <w:bCs/>
          <w:sz w:val="32"/>
          <w:szCs w:val="32"/>
        </w:rPr>
      </w:pPr>
      <w:r>
        <w:rPr>
          <w:rFonts w:hint="eastAsia" w:ascii="仿宋_GB2312" w:eastAsia="仿宋_GB2312"/>
          <w:b/>
          <w:bCs/>
          <w:sz w:val="32"/>
          <w:szCs w:val="32"/>
        </w:rPr>
        <w:t>3、一般公共预算财政拨款支出决算具体情况</w:t>
      </w:r>
    </w:p>
    <w:p>
      <w:pPr>
        <w:spacing w:line="580" w:lineRule="exact"/>
        <w:ind w:firstLine="640" w:firstLineChars="200"/>
        <w:rPr>
          <w:rFonts w:ascii="仿宋_GB2312" w:eastAsia="仿宋_GB2312"/>
          <w:sz w:val="32"/>
          <w:szCs w:val="32"/>
        </w:rPr>
      </w:pP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2020年度一般公共预算财政拨款支出年初预算为9773.88万元。</w:t>
      </w:r>
      <w:r>
        <w:rPr>
          <w:rFonts w:hint="eastAsia" w:ascii="仿宋" w:hAnsi="仿宋" w:eastAsia="仿宋" w:cs="仿宋"/>
          <w:color w:val="000000"/>
          <w:sz w:val="32"/>
          <w:szCs w:val="32"/>
        </w:rPr>
        <w:t>其中：青岛市市北区人民法院</w:t>
      </w:r>
      <w:r>
        <w:rPr>
          <w:rFonts w:hint="eastAsia" w:ascii="仿宋" w:hAnsi="仿宋" w:eastAsia="仿宋" w:cs="仿宋"/>
          <w:sz w:val="32"/>
          <w:szCs w:val="32"/>
        </w:rPr>
        <w:t>本级2020年度一般公共预算财政拨款支出年初预算为9404.45万元（</w:t>
      </w:r>
      <w:r>
        <w:rPr>
          <w:rFonts w:hint="eastAsia" w:ascii="仿宋" w:hAnsi="仿宋" w:eastAsia="仿宋" w:cs="仿宋"/>
          <w:color w:val="000000"/>
          <w:sz w:val="32"/>
          <w:szCs w:val="32"/>
        </w:rPr>
        <w:t>含下属事业单位青岛市市北区人民法院司法鉴定委托管理中心人员经费预算为450万元</w:t>
      </w:r>
      <w:r>
        <w:rPr>
          <w:rFonts w:hint="eastAsia" w:ascii="仿宋" w:hAnsi="仿宋" w:eastAsia="仿宋" w:cs="仿宋"/>
          <w:sz w:val="32"/>
          <w:szCs w:val="32"/>
        </w:rPr>
        <w:t>）</w:t>
      </w:r>
      <w:r>
        <w:rPr>
          <w:rFonts w:hint="eastAsia" w:ascii="仿宋" w:hAnsi="仿宋" w:eastAsia="仿宋" w:cs="仿宋"/>
          <w:color w:val="000000"/>
          <w:sz w:val="32"/>
          <w:szCs w:val="32"/>
        </w:rPr>
        <w:t>，青岛市市北区人民法院机关服务中心</w:t>
      </w:r>
      <w:r>
        <w:rPr>
          <w:rFonts w:hint="eastAsia" w:ascii="仿宋" w:hAnsi="仿宋" w:eastAsia="仿宋" w:cs="仿宋"/>
          <w:color w:val="000000" w:themeColor="text1"/>
          <w:sz w:val="32"/>
          <w:szCs w:val="32"/>
        </w:rPr>
        <w:t>为369.43万元。总</w:t>
      </w:r>
      <w:r>
        <w:rPr>
          <w:rFonts w:hint="eastAsia" w:ascii="仿宋" w:hAnsi="仿宋" w:eastAsia="仿宋" w:cs="仿宋"/>
          <w:sz w:val="32"/>
          <w:szCs w:val="32"/>
        </w:rPr>
        <w:t>支出决算为10104.79万元，完成年初预算的103.38%，其中：基本支出7292.74万元，项目支出2812.05万元。前者主要包括人员经费6665.43万元和公用经费627.31万元，后者主要包括案件审判与执行工作经费及市专款。而决算数略大于年初预算数的主要是按规定使用以前年度市专款结余。</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案件审判与执行工作经费</w:t>
      </w:r>
      <w:r>
        <w:rPr>
          <w:rFonts w:hint="eastAsia" w:ascii="仿宋" w:hAnsi="仿宋" w:eastAsia="仿宋"/>
          <w:sz w:val="32"/>
          <w:szCs w:val="32"/>
        </w:rPr>
        <w:t>，年初预算数为3100万元，决算数为2301.33万元</w:t>
      </w:r>
      <w:r>
        <w:rPr>
          <w:rFonts w:hint="eastAsia" w:ascii="仿宋" w:hAnsi="仿宋" w:eastAsia="仿宋"/>
          <w:b/>
          <w:sz w:val="32"/>
          <w:szCs w:val="32"/>
        </w:rPr>
        <w:t>。</w:t>
      </w:r>
      <w:r>
        <w:rPr>
          <w:rFonts w:hint="eastAsia" w:ascii="仿宋" w:hAnsi="仿宋" w:eastAsia="仿宋"/>
          <w:sz w:val="32"/>
          <w:szCs w:val="32"/>
        </w:rPr>
        <w:t>项目经费</w:t>
      </w:r>
      <w:r>
        <w:rPr>
          <w:rFonts w:hint="eastAsia" w:ascii="仿宋" w:hAnsi="仿宋" w:eastAsia="仿宋"/>
          <w:color w:val="000000"/>
          <w:sz w:val="32"/>
          <w:szCs w:val="32"/>
        </w:rPr>
        <w:t>差额主要原因：在预算执行过程中，实际情况发生较大变化，纳入一般公共预算的财政项目经费拨款收入相应减少，相应项目支出随之减少。</w:t>
      </w:r>
    </w:p>
    <w:p>
      <w:pPr>
        <w:spacing w:line="580" w:lineRule="exact"/>
        <w:ind w:firstLine="600"/>
        <w:rPr>
          <w:rFonts w:ascii="楷体_GB2312" w:eastAsia="楷体_GB2312"/>
          <w:sz w:val="32"/>
          <w:szCs w:val="32"/>
        </w:rPr>
      </w:pPr>
      <w:r>
        <w:rPr>
          <w:rFonts w:hint="eastAsia" w:ascii="楷体_GB2312" w:eastAsia="楷体_GB2312"/>
          <w:sz w:val="32"/>
          <w:szCs w:val="32"/>
        </w:rPr>
        <w:t>（六）一般公共预算财政拨款基本支出决算情况</w:t>
      </w:r>
    </w:p>
    <w:p>
      <w:pPr>
        <w:spacing w:line="580" w:lineRule="exact"/>
        <w:ind w:firstLine="600"/>
        <w:rPr>
          <w:rFonts w:hint="eastAsia" w:ascii="仿宋" w:hAnsi="仿宋" w:eastAsia="仿宋" w:cs="仿宋"/>
          <w:sz w:val="32"/>
          <w:szCs w:val="32"/>
        </w:rPr>
      </w:pP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2020年度一般公共预算财政拨款基本支出7292.74万元，包括人员经费和公用经费，支出具体情况如下：</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人员经费6665.43万元，其中工资福利支出6095.71万元，其他对个人和家庭的补助支出569.72万元。主要包括：基本工资、津贴补贴、奖金、机关事业单位基本养老保险费、职工基本医疗保险缴费、伙食补助费、绩效工资、其他工资福利支出、离休费、退休费、抚恤金、生活补助、医疗费补助、助学金、奖励金、住房公积金等。</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公用经费627.31万元，主要包括：办公费、印刷费、咨询费、手续费、水费、电费、邮电费、取暖费、物业管理费、差旅费、因公出国（境）费、维修（护）费、租赁费、会议费、培训费、公务招待费、专用材料费、劳务费、委托业务费、工会经费、福利费、公务用车运行维护费、其他交通费用、其他商品和服务支出等。</w:t>
      </w:r>
    </w:p>
    <w:p>
      <w:pPr>
        <w:spacing w:line="580" w:lineRule="exact"/>
        <w:ind w:firstLine="600"/>
        <w:rPr>
          <w:rFonts w:hint="eastAsia" w:ascii="楷体_GB2312" w:eastAsia="楷体_GB2312"/>
          <w:sz w:val="32"/>
          <w:szCs w:val="32"/>
        </w:rPr>
      </w:pPr>
      <w:r>
        <w:rPr>
          <w:rFonts w:hint="eastAsia" w:ascii="楷体_GB2312" w:eastAsia="楷体_GB2312"/>
          <w:sz w:val="32"/>
          <w:szCs w:val="32"/>
        </w:rPr>
        <w:t>（七）一般公共预算财政拨款“三公”经费支出决算情况</w:t>
      </w:r>
    </w:p>
    <w:p>
      <w:pPr>
        <w:spacing w:line="580" w:lineRule="exact"/>
        <w:ind w:firstLine="600"/>
        <w:rPr>
          <w:rFonts w:hint="eastAsia" w:ascii="仿宋" w:hAnsi="仿宋" w:eastAsia="仿宋" w:cs="仿宋"/>
          <w:b/>
          <w:bCs/>
          <w:sz w:val="32"/>
          <w:szCs w:val="32"/>
        </w:rPr>
      </w:pPr>
      <w:r>
        <w:rPr>
          <w:rFonts w:hint="eastAsia" w:ascii="仿宋" w:hAnsi="仿宋" w:eastAsia="仿宋" w:cs="仿宋"/>
          <w:b/>
          <w:bCs/>
          <w:sz w:val="32"/>
          <w:szCs w:val="32"/>
        </w:rPr>
        <w:t>1、“三公”经费支出情况及增减变动原因</w:t>
      </w:r>
    </w:p>
    <w:p>
      <w:pPr>
        <w:spacing w:line="580" w:lineRule="exact"/>
        <w:ind w:firstLine="600"/>
        <w:rPr>
          <w:rFonts w:hint="eastAsia" w:ascii="仿宋" w:hAnsi="仿宋" w:eastAsia="仿宋" w:cs="仿宋"/>
          <w:sz w:val="32"/>
          <w:szCs w:val="32"/>
        </w:rPr>
      </w:pP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2020年度一般公共预算财政拨款“三公”经费决算数为60.65万元（含院本级及2个所属事业单位），全为公务用车购置及运行维护费60.65万元，其中：公务用车购置费0万元，公务用车运行维护费60.65万元，占100%。无因公出国（境）费和公务接待费。</w:t>
      </w:r>
    </w:p>
    <w:p>
      <w:pPr>
        <w:spacing w:line="580" w:lineRule="exact"/>
        <w:ind w:firstLine="600"/>
        <w:rPr>
          <w:rFonts w:hint="eastAsia" w:ascii="仿宋" w:hAnsi="仿宋" w:eastAsia="仿宋" w:cs="仿宋"/>
          <w:sz w:val="32"/>
          <w:szCs w:val="32"/>
        </w:rPr>
      </w:pPr>
      <w:r>
        <w:rPr>
          <w:rFonts w:hint="eastAsia" w:ascii="仿宋" w:hAnsi="仿宋" w:eastAsia="仿宋" w:cs="仿宋"/>
          <w:sz w:val="32"/>
          <w:szCs w:val="32"/>
        </w:rPr>
        <w:t>2020年度一般公共预算财政拨款“三公”经费决算数比年初预算数减少55.41万元，本年度无公务用车购置预算，全为公车运行维护费减少金额;公务接待费较年初预算减少支出1.34万元。</w:t>
      </w:r>
    </w:p>
    <w:p>
      <w:pPr>
        <w:spacing w:line="580" w:lineRule="exact"/>
        <w:ind w:firstLine="600"/>
        <w:rPr>
          <w:rFonts w:hint="eastAsia" w:ascii="仿宋" w:hAnsi="仿宋" w:eastAsia="仿宋" w:cs="仿宋"/>
          <w:color w:val="000000"/>
          <w:sz w:val="32"/>
          <w:szCs w:val="32"/>
        </w:rPr>
      </w:pPr>
      <w:r>
        <w:rPr>
          <w:rFonts w:hint="eastAsia" w:ascii="仿宋" w:hAnsi="仿宋" w:eastAsia="仿宋" w:cs="仿宋"/>
          <w:color w:val="000000"/>
          <w:sz w:val="32"/>
          <w:szCs w:val="32"/>
        </w:rPr>
        <w:t>2020年度一般公共预算财政拨款“三公”经费决算数比2019年减少126.77万元，降幅67.64%，其中：主要是本年度未更新车辆，公务用车购置支出相应减少91.5万元；公务用车运行维护费减少35.27万元，降幅36.77%，主要原因是去年解决历史遗留问题，偿付以前年度所欠部分车辆维修费33.37万元，剔除该因素，本年度车辆维修费基本与去年持平。</w:t>
      </w:r>
    </w:p>
    <w:p>
      <w:pPr>
        <w:spacing w:line="580" w:lineRule="exact"/>
        <w:ind w:firstLine="600"/>
        <w:rPr>
          <w:rFonts w:hint="eastAsia" w:ascii="仿宋" w:hAnsi="仿宋" w:eastAsia="仿宋" w:cs="仿宋"/>
          <w:b/>
          <w:bCs/>
          <w:sz w:val="32"/>
          <w:szCs w:val="32"/>
        </w:rPr>
      </w:pPr>
      <w:r>
        <w:rPr>
          <w:rFonts w:hint="eastAsia" w:ascii="仿宋" w:hAnsi="仿宋" w:eastAsia="仿宋" w:cs="仿宋"/>
          <w:b/>
          <w:bCs/>
          <w:sz w:val="32"/>
          <w:szCs w:val="32"/>
        </w:rPr>
        <w:t>2、“三公”经费支出相关情况说明</w:t>
      </w:r>
    </w:p>
    <w:p>
      <w:pPr>
        <w:spacing w:line="580" w:lineRule="exact"/>
        <w:ind w:firstLine="600"/>
        <w:rPr>
          <w:rFonts w:hint="eastAsia" w:ascii="仿宋" w:hAnsi="仿宋" w:eastAsia="仿宋" w:cs="仿宋"/>
          <w:sz w:val="32"/>
          <w:szCs w:val="32"/>
        </w:rPr>
      </w:pPr>
      <w:r>
        <w:rPr>
          <w:rFonts w:hint="eastAsia" w:ascii="仿宋" w:hAnsi="仿宋" w:eastAsia="仿宋" w:cs="仿宋"/>
          <w:sz w:val="32"/>
          <w:szCs w:val="32"/>
        </w:rPr>
        <w:t>(1) 因公出国（境）费指单位工作人员公务出国（境）的国际旅费、国外城市间交通费、住宿费、伙食费、培训费、公杂费等支出。2020年度，青岛市市北区人民法院无因公出国(境)费用。</w:t>
      </w:r>
    </w:p>
    <w:p>
      <w:pPr>
        <w:spacing w:line="580" w:lineRule="exact"/>
        <w:ind w:firstLine="589" w:firstLineChars="184"/>
        <w:rPr>
          <w:rFonts w:hint="eastAsia" w:ascii="仿宋" w:hAnsi="仿宋" w:eastAsia="仿宋" w:cs="仿宋"/>
          <w:sz w:val="32"/>
          <w:szCs w:val="32"/>
        </w:rPr>
      </w:pPr>
      <w:r>
        <w:rPr>
          <w:rFonts w:hint="eastAsia" w:ascii="仿宋" w:hAnsi="仿宋" w:eastAsia="仿宋" w:cs="仿宋"/>
          <w:sz w:val="32"/>
          <w:szCs w:val="32"/>
        </w:rPr>
        <w:t>(2) 公务用车购置及运行维护费指单位公务用车购置费（含车辆购置税）及按规定保留的公务用车燃料费、维修费、过路过桥费、保险费等支出。其中：公务用车购置费0元；公务用车运行维护费60.65万元。主要用于按规定保留的公务用车燃料费、维修费、过路过桥费、保险费等支出。</w:t>
      </w:r>
    </w:p>
    <w:p>
      <w:pPr>
        <w:spacing w:line="580" w:lineRule="exact"/>
        <w:ind w:firstLine="589" w:firstLineChars="184"/>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末青岛市市北区人民法院财政拨款开支运行维护费的公务用车实际保有量为47辆，含上年度因新冠疫情影响待报废车辆4辆。截止至2020年度决算公开报告日，上述待报废4辆公务用车相关报废审批手续已经全部办妥，并相应核减账面数量，目前单位公务用车实际保有量为43辆。</w:t>
      </w:r>
    </w:p>
    <w:p>
      <w:pPr>
        <w:spacing w:line="580" w:lineRule="exact"/>
        <w:ind w:firstLine="601"/>
        <w:rPr>
          <w:rFonts w:ascii="仿宋_GB2312" w:eastAsia="仿宋_GB2312"/>
          <w:sz w:val="32"/>
          <w:szCs w:val="32"/>
        </w:rPr>
      </w:pPr>
      <w:r>
        <w:rPr>
          <w:rFonts w:hint="eastAsia" w:ascii="仿宋" w:hAnsi="仿宋" w:eastAsia="仿宋" w:cs="仿宋"/>
          <w:sz w:val="32"/>
          <w:szCs w:val="32"/>
        </w:rPr>
        <w:t xml:space="preserve"> (3) 公务接待费指单位按规定开支的各类公务接待（含外宾接待）支出。2020年度，青岛市市北区人民法院无公务接待费。</w:t>
      </w:r>
    </w:p>
    <w:p>
      <w:pPr>
        <w:spacing w:line="580" w:lineRule="exact"/>
        <w:ind w:firstLine="600"/>
        <w:rPr>
          <w:rFonts w:ascii="楷体_GB2312" w:eastAsia="楷体_GB2312"/>
          <w:sz w:val="32"/>
          <w:szCs w:val="32"/>
        </w:rPr>
      </w:pPr>
      <w:r>
        <w:rPr>
          <w:rFonts w:hint="eastAsia" w:ascii="楷体_GB2312" w:eastAsia="楷体_GB2312"/>
          <w:sz w:val="32"/>
          <w:szCs w:val="32"/>
        </w:rPr>
        <w:t>（八）政府性基金预算财政拨款收入支出决算情况</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青岛市市北区人民法院没有政府性基金收入，也没有使用政府性基金安排的支出，故本表无数据。</w:t>
      </w:r>
    </w:p>
    <w:p>
      <w:pPr>
        <w:spacing w:line="580" w:lineRule="exact"/>
        <w:ind w:firstLine="600"/>
        <w:rPr>
          <w:rFonts w:hint="eastAsia" w:ascii="楷体" w:hAnsi="楷体" w:eastAsia="楷体" w:cs="楷体"/>
          <w:sz w:val="32"/>
          <w:szCs w:val="32"/>
        </w:rPr>
      </w:pPr>
      <w:r>
        <w:rPr>
          <w:rFonts w:hint="eastAsia" w:ascii="楷体" w:hAnsi="楷体" w:eastAsia="楷体" w:cs="楷体"/>
          <w:sz w:val="32"/>
          <w:szCs w:val="32"/>
        </w:rPr>
        <w:t>（九）国有资本经营预算财政拨款支出决算情况</w:t>
      </w:r>
    </w:p>
    <w:p>
      <w:pPr>
        <w:spacing w:line="600" w:lineRule="exact"/>
        <w:ind w:firstLine="600"/>
        <w:rPr>
          <w:rFonts w:hint="eastAsia" w:ascii="仿宋" w:hAnsi="仿宋" w:eastAsia="仿宋" w:cs="仿宋"/>
          <w:sz w:val="32"/>
          <w:szCs w:val="32"/>
        </w:rPr>
      </w:pPr>
      <w:r>
        <w:rPr>
          <w:rFonts w:hint="eastAsia" w:ascii="仿宋" w:hAnsi="仿宋" w:eastAsia="仿宋" w:cs="仿宋"/>
          <w:sz w:val="32"/>
          <w:szCs w:val="32"/>
        </w:rPr>
        <w:t>青岛市市北区人民法院没有国有资本经营预算财政拨款收入，也没有使用国有资本经营预算财政拨款安排的支出，故本表无数据。</w:t>
      </w:r>
    </w:p>
    <w:p>
      <w:pPr>
        <w:spacing w:line="580" w:lineRule="exact"/>
        <w:ind w:firstLine="758" w:firstLineChars="237"/>
        <w:rPr>
          <w:rFonts w:hint="eastAsia" w:ascii="黑体" w:hAnsi="黑体" w:eastAsia="黑体"/>
          <w:sz w:val="32"/>
          <w:szCs w:val="32"/>
        </w:rPr>
      </w:pPr>
      <w:r>
        <w:rPr>
          <w:rFonts w:hint="eastAsia" w:ascii="黑体" w:hAnsi="黑体" w:eastAsia="黑体"/>
          <w:sz w:val="32"/>
          <w:szCs w:val="32"/>
        </w:rPr>
        <w:t>二、重要事项说明</w:t>
      </w:r>
    </w:p>
    <w:p>
      <w:pPr>
        <w:spacing w:line="580" w:lineRule="exact"/>
        <w:ind w:firstLine="758" w:firstLineChars="237"/>
        <w:rPr>
          <w:rFonts w:ascii="楷体_GB2312" w:eastAsia="楷体_GB2312"/>
          <w:sz w:val="32"/>
          <w:szCs w:val="32"/>
        </w:rPr>
      </w:pPr>
      <w:r>
        <w:rPr>
          <w:rFonts w:hint="eastAsia" w:ascii="楷体_GB2312" w:eastAsia="楷体_GB2312"/>
          <w:sz w:val="32"/>
          <w:szCs w:val="32"/>
        </w:rPr>
        <w:t>（一）机关运行经费支出情况说明</w:t>
      </w:r>
    </w:p>
    <w:p>
      <w:pPr>
        <w:spacing w:line="580" w:lineRule="exact"/>
        <w:ind w:left="160" w:leftChars="76" w:firstLine="752" w:firstLineChars="235"/>
        <w:rPr>
          <w:rFonts w:ascii="仿宋_GB2312" w:hAnsi="仿宋_GB2312" w:eastAsia="仿宋_GB2312"/>
          <w:sz w:val="32"/>
          <w:szCs w:val="32"/>
        </w:rPr>
      </w:pP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2020年度机关运行经费支出622.72（含其他交通费用等163.93万元）按可比口径计算，今年较去年降低13.14万元，下降2.78%，主要原因是：青岛市市北区人民法院积极响应和落实中央、省、市等上级机关要求，采取有效管控措施，进一步压缩办公费、差旅费、邮电费、公务用车运行维护费等机关运行经费各项开支。</w:t>
      </w:r>
    </w:p>
    <w:p>
      <w:pPr>
        <w:spacing w:line="580" w:lineRule="exact"/>
        <w:ind w:firstLine="758" w:firstLineChars="237"/>
        <w:rPr>
          <w:rFonts w:ascii="楷体_GB2312" w:eastAsia="楷体_GB2312"/>
          <w:sz w:val="32"/>
          <w:szCs w:val="32"/>
        </w:rPr>
      </w:pPr>
      <w:r>
        <w:rPr>
          <w:rFonts w:hint="eastAsia" w:ascii="楷体_GB2312" w:eastAsia="楷体_GB2312"/>
          <w:sz w:val="32"/>
          <w:szCs w:val="32"/>
        </w:rPr>
        <w:t>（二）政府采购支出情况说明</w:t>
      </w:r>
    </w:p>
    <w:p>
      <w:pPr>
        <w:spacing w:line="580" w:lineRule="exact"/>
        <w:ind w:firstLine="600"/>
        <w:rPr>
          <w:rFonts w:ascii="仿宋_GB2312" w:eastAsia="仿宋_GB2312"/>
          <w:b/>
          <w:color w:val="00B0F0"/>
          <w:sz w:val="32"/>
          <w:szCs w:val="32"/>
        </w:rPr>
      </w:pPr>
      <w:r>
        <w:rPr>
          <w:rFonts w:hint="eastAsia" w:ascii="仿宋" w:hAnsi="仿宋" w:eastAsia="仿宋" w:cs="仿宋"/>
          <w:color w:val="000000"/>
          <w:sz w:val="32"/>
          <w:szCs w:val="32"/>
        </w:rPr>
        <w:t>青岛市市北区人民法院2020年度政府采购金额1918.71万元，其中：政府采购货物金额476.57万元、政府采购工程金额0万元、政府采购服务金额1442.14万元。本年度内未授予中小企业（含小微企业）政府采购合同。</w:t>
      </w:r>
    </w:p>
    <w:p>
      <w:pPr>
        <w:spacing w:line="580" w:lineRule="exact"/>
        <w:ind w:firstLine="600"/>
        <w:rPr>
          <w:rFonts w:ascii="楷体_GB2312" w:eastAsia="楷体_GB2312"/>
          <w:sz w:val="32"/>
          <w:szCs w:val="32"/>
          <w:highlight w:val="yellow"/>
        </w:rPr>
      </w:pPr>
      <w:r>
        <w:rPr>
          <w:rFonts w:hint="eastAsia" w:ascii="楷体_GB2312" w:eastAsia="楷体_GB2312"/>
          <w:sz w:val="32"/>
          <w:szCs w:val="32"/>
        </w:rPr>
        <w:t>（三）国有资产占用情况说明</w:t>
      </w:r>
    </w:p>
    <w:p>
      <w:pPr>
        <w:spacing w:line="580" w:lineRule="exact"/>
        <w:ind w:firstLine="600"/>
        <w:rPr>
          <w:rFonts w:hint="eastAsia" w:ascii="仿宋" w:hAnsi="仿宋" w:eastAsia="仿宋" w:cs="仿宋"/>
          <w:sz w:val="32"/>
          <w:szCs w:val="32"/>
        </w:rPr>
      </w:pPr>
      <w:r>
        <w:rPr>
          <w:rFonts w:hint="eastAsia" w:ascii="仿宋" w:hAnsi="仿宋" w:eastAsia="仿宋" w:cs="仿宋"/>
          <w:sz w:val="32"/>
          <w:szCs w:val="32"/>
        </w:rPr>
        <w:t>截至2020年底，</w:t>
      </w:r>
      <w:r>
        <w:rPr>
          <w:rFonts w:hint="eastAsia" w:ascii="仿宋" w:hAnsi="仿宋" w:eastAsia="仿宋" w:cs="仿宋"/>
          <w:color w:val="000000"/>
          <w:sz w:val="32"/>
          <w:szCs w:val="32"/>
        </w:rPr>
        <w:t>青岛市市北区人民法院</w:t>
      </w:r>
      <w:r>
        <w:rPr>
          <w:rFonts w:hint="eastAsia" w:ascii="仿宋" w:hAnsi="仿宋" w:eastAsia="仿宋" w:cs="仿宋"/>
          <w:sz w:val="32"/>
          <w:szCs w:val="32"/>
        </w:rPr>
        <w:t>共有车辆47辆，其中，公务用车3 辆、一般执法执勤用车44辆（含待报废车辆4辆）、特种专业技术用车0辆、其他用车0辆；单位价值50万元以上通用设备 0台（套），单位价值100万元以上专用设备0台（套）。</w:t>
      </w:r>
    </w:p>
    <w:p>
      <w:pPr>
        <w:spacing w:line="58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（四）预算绩效管理工作开展情况说明</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1.预算绩效管理工作开展情况。</w:t>
      </w:r>
    </w:p>
    <w:p>
      <w:pPr>
        <w:snapToGrid w:val="0"/>
        <w:spacing w:line="300" w:lineRule="auto"/>
        <w:ind w:firstLine="640" w:firstLineChars="200"/>
        <w:rPr>
          <w:rFonts w:ascii="仿宋" w:hAnsi="仿宋" w:eastAsia="仿宋" w:cs="Courier New"/>
          <w:sz w:val="32"/>
          <w:szCs w:val="32"/>
        </w:rPr>
      </w:pPr>
      <w:r>
        <w:rPr>
          <w:rFonts w:hint="eastAsia" w:ascii="仿宋" w:hAnsi="仿宋" w:eastAsia="仿宋" w:cs="Courier New"/>
          <w:sz w:val="32"/>
          <w:szCs w:val="32"/>
        </w:rPr>
        <w:t>青岛市市北区人民法院严格按照2020年年初设定的绩效目标科学管控、合理合规使用专项经费，并根据相关文件要求进行预算绩效管理和简要自我评价。2020年实行绩效目标管理的项目1个，即</w:t>
      </w:r>
      <w:r>
        <w:rPr>
          <w:rFonts w:hint="eastAsia" w:ascii="仿宋" w:hAnsi="仿宋" w:eastAsia="仿宋"/>
          <w:b/>
          <w:sz w:val="32"/>
          <w:szCs w:val="32"/>
        </w:rPr>
        <w:t>案件审判与执行工作经费，</w:t>
      </w:r>
      <w:r>
        <w:rPr>
          <w:rFonts w:hint="eastAsia" w:ascii="仿宋" w:hAnsi="仿宋" w:eastAsia="仿宋"/>
          <w:sz w:val="32"/>
          <w:szCs w:val="32"/>
        </w:rPr>
        <w:t>该项目</w:t>
      </w:r>
      <w:r>
        <w:rPr>
          <w:rFonts w:hint="eastAsia" w:ascii="仿宋" w:hAnsi="仿宋" w:eastAsia="仿宋" w:cs="Courier New"/>
          <w:sz w:val="32"/>
          <w:szCs w:val="32"/>
        </w:rPr>
        <w:t>涉及财政拨款</w:t>
      </w:r>
      <w:r>
        <w:rPr>
          <w:rFonts w:hint="eastAsia" w:ascii="仿宋" w:hAnsi="仿宋" w:eastAsia="仿宋"/>
          <w:sz w:val="32"/>
          <w:szCs w:val="32"/>
        </w:rPr>
        <w:t>2301.33</w:t>
      </w:r>
      <w:r>
        <w:rPr>
          <w:rFonts w:hint="eastAsia" w:ascii="仿宋" w:hAnsi="仿宋" w:eastAsia="仿宋" w:cs="Courier New"/>
          <w:sz w:val="32"/>
          <w:szCs w:val="32"/>
        </w:rPr>
        <w:t>万元，概要如下：</w:t>
      </w:r>
    </w:p>
    <w:p>
      <w:pPr>
        <w:spacing w:line="580" w:lineRule="exact"/>
        <w:ind w:firstLine="643" w:firstLineChars="200"/>
        <w:rPr>
          <w:rFonts w:ascii="仿宋" w:hAnsi="仿宋" w:eastAsia="仿宋"/>
          <w:sz w:val="32"/>
          <w:szCs w:val="32"/>
        </w:rPr>
      </w:pPr>
      <w:r>
        <w:rPr>
          <w:rFonts w:hint="eastAsia" w:ascii="仿宋" w:hAnsi="仿宋" w:eastAsia="仿宋"/>
          <w:b/>
          <w:sz w:val="32"/>
          <w:szCs w:val="32"/>
        </w:rPr>
        <w:t>案件审判与执行工作经费，年初预算数为3100万元，决算数为</w:t>
      </w:r>
      <w:r>
        <w:rPr>
          <w:rFonts w:hint="eastAsia" w:ascii="仿宋" w:hAnsi="仿宋" w:eastAsia="仿宋"/>
          <w:sz w:val="32"/>
          <w:szCs w:val="32"/>
        </w:rPr>
        <w:t>2301.33</w:t>
      </w:r>
      <w:r>
        <w:rPr>
          <w:rFonts w:hint="eastAsia" w:ascii="仿宋" w:hAnsi="仿宋" w:eastAsia="仿宋"/>
          <w:b/>
          <w:sz w:val="32"/>
          <w:szCs w:val="32"/>
        </w:rPr>
        <w:t>万元。</w:t>
      </w:r>
      <w:r>
        <w:rPr>
          <w:rFonts w:hint="eastAsia" w:ascii="仿宋" w:hAnsi="仿宋" w:eastAsia="仿宋" w:cs="Courier New"/>
          <w:sz w:val="32"/>
          <w:szCs w:val="32"/>
        </w:rPr>
        <w:t>主要</w:t>
      </w:r>
      <w:r>
        <w:rPr>
          <w:rFonts w:hint="eastAsia" w:ascii="仿宋" w:hAnsi="仿宋" w:eastAsia="仿宋"/>
          <w:sz w:val="32"/>
          <w:szCs w:val="32"/>
        </w:rPr>
        <w:t>包括青岛市市北区人民法院所属经费自理事业单位人员经费，在法院长期工作的其他工作人员经费，办公费，办案差旅费，邮电费，维修（护）费，办案装备购置以及信息化网络建设支出等，该项目经费专项用于</w:t>
      </w:r>
      <w:r>
        <w:rPr>
          <w:rFonts w:hint="eastAsia" w:ascii="仿宋" w:hAnsi="仿宋" w:eastAsia="仿宋" w:cs="Courier New"/>
          <w:sz w:val="32"/>
          <w:szCs w:val="32"/>
        </w:rPr>
        <w:t>弥补</w:t>
      </w:r>
      <w:r>
        <w:rPr>
          <w:rFonts w:hint="eastAsia" w:ascii="仿宋" w:hAnsi="仿宋" w:eastAsia="仿宋"/>
          <w:sz w:val="32"/>
          <w:szCs w:val="32"/>
        </w:rPr>
        <w:t>法院日常办公、办案经费不足。</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从单位自我初评情况看，2020年，</w:t>
      </w:r>
      <w:r>
        <w:rPr>
          <w:rFonts w:hint="eastAsia" w:ascii="仿宋" w:hAnsi="仿宋" w:eastAsia="仿宋" w:cs="Courier New"/>
          <w:sz w:val="32"/>
          <w:szCs w:val="32"/>
        </w:rPr>
        <w:t>青岛市市北区人民法院</w:t>
      </w:r>
      <w:r>
        <w:rPr>
          <w:rFonts w:hint="eastAsia" w:ascii="仿宋" w:hAnsi="仿宋" w:eastAsia="仿宋"/>
          <w:sz w:val="32"/>
          <w:szCs w:val="32"/>
        </w:rPr>
        <w:t>坚持以收定支，优先安排和保障法院所属经费自理事业单位人员经费以及在法院长期工作的其他工作人员经费，能够做到专款专用，合理统筹安排资金，较好地发挥该项目经费专项用于</w:t>
      </w:r>
      <w:r>
        <w:rPr>
          <w:rFonts w:hint="eastAsia" w:ascii="仿宋" w:hAnsi="仿宋" w:eastAsia="仿宋" w:cs="Courier New"/>
          <w:sz w:val="32"/>
          <w:szCs w:val="32"/>
        </w:rPr>
        <w:t>弥补</w:t>
      </w:r>
      <w:r>
        <w:rPr>
          <w:rFonts w:hint="eastAsia" w:ascii="仿宋" w:hAnsi="仿宋" w:eastAsia="仿宋"/>
          <w:sz w:val="32"/>
          <w:szCs w:val="32"/>
        </w:rPr>
        <w:t>法院日常办公、办案经费不足的作用，提高司法公信力，基本保证审判与执行各项工作顺利运行。</w:t>
      </w:r>
    </w:p>
    <w:p>
      <w:pPr>
        <w:spacing w:line="580" w:lineRule="exact"/>
        <w:ind w:firstLine="600"/>
        <w:rPr>
          <w:rFonts w:hint="eastAsia" w:ascii="仿宋_GB2312" w:hAnsi="仿宋" w:eastAsia="仿宋_GB2312"/>
          <w:b/>
          <w:sz w:val="32"/>
          <w:szCs w:val="32"/>
        </w:rPr>
      </w:pPr>
      <w:r>
        <w:rPr>
          <w:rFonts w:hint="eastAsia" w:ascii="仿宋_GB2312" w:hAnsi="仿宋" w:eastAsia="仿宋_GB2312"/>
          <w:b/>
          <w:sz w:val="32"/>
          <w:szCs w:val="32"/>
        </w:rPr>
        <w:t>2.绩效自评报告公开情况。</w:t>
      </w:r>
    </w:p>
    <w:p>
      <w:pPr>
        <w:spacing w:line="580" w:lineRule="exact"/>
        <w:ind w:firstLine="600"/>
        <w:rPr>
          <w:rFonts w:hint="eastAsia" w:ascii="仿宋" w:hAnsi="仿宋" w:eastAsia="仿宋" w:cs="仿宋"/>
          <w:sz w:val="32"/>
          <w:szCs w:val="32"/>
        </w:rPr>
      </w:pPr>
      <w:r>
        <w:rPr>
          <w:rFonts w:hint="eastAsia" w:ascii="仿宋" w:hAnsi="仿宋" w:eastAsia="仿宋" w:cs="仿宋"/>
          <w:sz w:val="32"/>
          <w:szCs w:val="32"/>
        </w:rPr>
        <w:t>我单位在财政部门2020年度决算批复后，按照相关文件对预算绩效目标进行自我评价，并于自评工作完成后20日内，按照财政部门要求及时将单位自我绩效评价表通过市北政务网站公开。</w:t>
      </w:r>
    </w:p>
    <w:p>
      <w:pPr>
        <w:rPr>
          <w:rFonts w:hint="eastAsia" w:ascii="仿宋" w:hAnsi="仿宋" w:eastAsia="仿宋" w:cs="仿宋"/>
          <w:sz w:val="52"/>
          <w:szCs w:val="52"/>
        </w:rPr>
      </w:pPr>
    </w:p>
    <w:p>
      <w:pPr>
        <w:rPr>
          <w:rFonts w:hint="eastAsia" w:ascii="黑体" w:eastAsia="黑体"/>
          <w:sz w:val="52"/>
          <w:szCs w:val="52"/>
        </w:rPr>
      </w:pPr>
    </w:p>
    <w:p>
      <w:pPr>
        <w:rPr>
          <w:rFonts w:hint="eastAsia"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第四部分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00"/>
        <w:rPr>
          <w:rFonts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指单位本年度从同级财政部门取得的财政拨款。按现行管理制度，部门决算中反映的财政拨款包括一般公共预算财政拨款和政府性基金财政拨款。</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spacing w:line="580" w:lineRule="exact"/>
        <w:ind w:firstLine="600"/>
        <w:rPr>
          <w:rFonts w:ascii="仿宋_GB2312"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spacing w:line="580" w:lineRule="exact"/>
        <w:ind w:firstLine="600"/>
        <w:rPr>
          <w:rFonts w:ascii="仿宋_GB2312"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spacing w:line="580" w:lineRule="exact"/>
        <w:ind w:firstLine="6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事业收入”“经营收入”“其他收入”等不足以安排本年支出的情况下，使用以前年度积累的事业基金（事业单位当年收支相抵后按国家规定提取、用于弥补以后年度收支差额的基金）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指以前年度尚未完成、结转到本年仍按原规定用途继续使用的资金，或项目已完成等产生的结余资金。</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九、结余分配：</w:t>
      </w:r>
      <w:r>
        <w:rPr>
          <w:rFonts w:hint="eastAsia" w:ascii="仿宋_GB2312" w:hAnsi="仿宋" w:eastAsia="仿宋_GB2312"/>
          <w:sz w:val="32"/>
          <w:szCs w:val="32"/>
        </w:rPr>
        <w:t>指事业单位按照《事业单位会计制度》的规定从非财政补助结余中分配的事业基金和职工福利基金等。</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指单位按照有关规定结转到下年继续使用的资金，或项目已完成等产生的结余资金。</w:t>
      </w:r>
    </w:p>
    <w:p>
      <w:pPr>
        <w:spacing w:line="580" w:lineRule="exact"/>
        <w:ind w:firstLine="6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指单位为保障其机构正常运转、完成日常工作任务而发生的各项支出。</w:t>
      </w:r>
    </w:p>
    <w:p>
      <w:pPr>
        <w:spacing w:line="580" w:lineRule="exact"/>
        <w:ind w:firstLine="6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含车辆购置税）及按规定保留的公务用车燃料费、维修费、过路过桥费、保险费等支出；公务接待费反映单位按规定开支的各类公务接待（含外宾接待）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spacing w:line="580" w:lineRule="exact"/>
        <w:ind w:firstLine="600"/>
        <w:rPr>
          <w:rFonts w:ascii="仿宋" w:hAnsi="仿宋" w:eastAsia="仿宋"/>
          <w:sz w:val="32"/>
          <w:szCs w:val="32"/>
        </w:rPr>
      </w:pPr>
      <w:r>
        <w:rPr>
          <w:rFonts w:hint="eastAsia" w:ascii="黑体" w:hAnsi="黑体" w:eastAsia="黑体"/>
          <w:sz w:val="32"/>
          <w:szCs w:val="32"/>
        </w:rPr>
        <w:t>十六、公共安全支出（类）法院（款）行政运行（项）：</w:t>
      </w:r>
      <w:r>
        <w:rPr>
          <w:rFonts w:hint="eastAsia" w:ascii="仿宋" w:hAnsi="仿宋" w:eastAsia="仿宋"/>
          <w:sz w:val="32"/>
          <w:szCs w:val="32"/>
        </w:rPr>
        <w:t>指法院（包括各专门法院，包括实行公务员管理的事业单位）的基本支出。</w:t>
      </w:r>
    </w:p>
    <w:p>
      <w:pPr>
        <w:spacing w:line="580" w:lineRule="exact"/>
        <w:ind w:firstLine="600"/>
        <w:rPr>
          <w:rFonts w:ascii="仿宋" w:hAnsi="仿宋" w:eastAsia="仿宋"/>
          <w:sz w:val="32"/>
          <w:szCs w:val="32"/>
        </w:rPr>
      </w:pPr>
      <w:r>
        <w:rPr>
          <w:rFonts w:hint="eastAsia" w:ascii="黑体" w:hAnsi="黑体" w:eastAsia="黑体"/>
          <w:sz w:val="32"/>
          <w:szCs w:val="32"/>
        </w:rPr>
        <w:t>十七、公共安全支出（类）法院（款）机关服务（项）：</w:t>
      </w:r>
      <w:r>
        <w:rPr>
          <w:rFonts w:hint="eastAsia" w:ascii="仿宋" w:hAnsi="仿宋" w:eastAsia="仿宋"/>
          <w:sz w:val="32"/>
          <w:szCs w:val="32"/>
        </w:rPr>
        <w:t>指法院（包括各专门法</w:t>
      </w:r>
      <w:bookmarkStart w:id="0" w:name="_GoBack"/>
      <w:bookmarkEnd w:id="0"/>
      <w:r>
        <w:rPr>
          <w:rFonts w:hint="eastAsia" w:ascii="仿宋" w:hAnsi="仿宋" w:eastAsia="仿宋"/>
          <w:sz w:val="32"/>
          <w:szCs w:val="32"/>
        </w:rPr>
        <w:t>院，包括实行公务员管理的事业单位）提供后勤服务的各类后勤服务中心、医务室等附属事业单位的支出。</w:t>
      </w:r>
    </w:p>
    <w:p>
      <w:pPr>
        <w:spacing w:line="580" w:lineRule="exact"/>
        <w:ind w:firstLine="640" w:firstLineChars="200"/>
        <w:rPr>
          <w:rFonts w:ascii="仿宋" w:hAnsi="仿宋" w:eastAsia="仿宋"/>
          <w:sz w:val="32"/>
          <w:szCs w:val="32"/>
        </w:rPr>
      </w:pPr>
      <w:r>
        <w:rPr>
          <w:rFonts w:hint="eastAsia" w:ascii="黑体" w:hAnsi="黑体" w:eastAsia="黑体"/>
          <w:sz w:val="32"/>
          <w:szCs w:val="32"/>
        </w:rPr>
        <w:t>十八、公共安全支出（类）法院（款）案件审判（项）：</w:t>
      </w:r>
      <w:r>
        <w:rPr>
          <w:rFonts w:hint="eastAsia" w:ascii="仿宋" w:hAnsi="仿宋" w:eastAsia="仿宋"/>
          <w:sz w:val="32"/>
          <w:szCs w:val="32"/>
        </w:rPr>
        <w:t>反映人民法院对刑事、民事、行政、涉外等案件审判、执行活动和对各种非诉执行活动的支出。</w:t>
      </w:r>
    </w:p>
    <w:p>
      <w:pPr>
        <w:spacing w:line="580" w:lineRule="exact"/>
        <w:ind w:firstLine="643" w:firstLineChars="200"/>
        <w:rPr>
          <w:rFonts w:ascii="仿宋_GB2312" w:eastAsia="仿宋_GB2312"/>
          <w:b/>
          <w:sz w:val="32"/>
          <w:szCs w:val="32"/>
        </w:rPr>
      </w:pPr>
      <w:r>
        <w:rPr>
          <w:rFonts w:hint="eastAsia" w:ascii="黑体" w:hAnsi="黑体" w:eastAsia="黑体"/>
          <w:b/>
          <w:sz w:val="32"/>
          <w:szCs w:val="32"/>
        </w:rPr>
        <w:t>十九、</w:t>
      </w:r>
      <w:r>
        <w:rPr>
          <w:rFonts w:hint="eastAsia" w:ascii="黑体" w:hAnsi="黑体" w:eastAsia="黑体"/>
          <w:sz w:val="32"/>
          <w:szCs w:val="32"/>
        </w:rPr>
        <w:t>公共安全支出（类）法院（款）其他法院支出（项）：</w:t>
      </w:r>
      <w:r>
        <w:rPr>
          <w:rFonts w:hint="eastAsia" w:ascii="仿宋" w:hAnsi="仿宋" w:eastAsia="仿宋"/>
          <w:sz w:val="32"/>
          <w:szCs w:val="32"/>
        </w:rPr>
        <w:t>反映除上述项目以外其他用于法院方面的支出。</w:t>
      </w:r>
    </w:p>
    <w:p>
      <w:pPr>
        <w:spacing w:line="580" w:lineRule="exact"/>
        <w:ind w:firstLine="640" w:firstLineChars="200"/>
        <w:rPr>
          <w:rFonts w:ascii="仿宋_GB2312" w:eastAsia="仿宋_GB2312"/>
          <w:sz w:val="32"/>
          <w:szCs w:val="32"/>
        </w:rPr>
      </w:pPr>
    </w:p>
    <w:p>
      <w:pPr>
        <w:spacing w:line="580" w:lineRule="exact"/>
        <w:ind w:firstLine="420" w:firstLineChars="200"/>
      </w:pPr>
    </w:p>
    <w:sectPr>
      <w:footerReference r:id="rId6" w:type="default"/>
      <w:footerReference r:id="rId7" w:type="even"/>
      <w:pgSz w:w="11906" w:h="16838"/>
      <w:pgMar w:top="1440" w:right="1274" w:bottom="1440" w:left="15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星简大标宋">
    <w:altName w:val="Arial Unicode MS"/>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25</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- 41 -</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283"/>
    <w:rsid w:val="000037A0"/>
    <w:rsid w:val="00007DC9"/>
    <w:rsid w:val="00010FE6"/>
    <w:rsid w:val="00013228"/>
    <w:rsid w:val="00015607"/>
    <w:rsid w:val="00016478"/>
    <w:rsid w:val="00017BE6"/>
    <w:rsid w:val="00021595"/>
    <w:rsid w:val="000217B6"/>
    <w:rsid w:val="00023164"/>
    <w:rsid w:val="00023ACF"/>
    <w:rsid w:val="000256DB"/>
    <w:rsid w:val="000262D1"/>
    <w:rsid w:val="00031E72"/>
    <w:rsid w:val="00031FDC"/>
    <w:rsid w:val="000348C2"/>
    <w:rsid w:val="0003591B"/>
    <w:rsid w:val="000368B1"/>
    <w:rsid w:val="00037B20"/>
    <w:rsid w:val="00040B20"/>
    <w:rsid w:val="00044DCC"/>
    <w:rsid w:val="00045A58"/>
    <w:rsid w:val="00046A75"/>
    <w:rsid w:val="00047478"/>
    <w:rsid w:val="00047D02"/>
    <w:rsid w:val="00053C6A"/>
    <w:rsid w:val="00057D1D"/>
    <w:rsid w:val="00065A4C"/>
    <w:rsid w:val="000679A9"/>
    <w:rsid w:val="0007108E"/>
    <w:rsid w:val="00072AD9"/>
    <w:rsid w:val="00074D65"/>
    <w:rsid w:val="00076E25"/>
    <w:rsid w:val="00077098"/>
    <w:rsid w:val="0008135F"/>
    <w:rsid w:val="00082097"/>
    <w:rsid w:val="00083460"/>
    <w:rsid w:val="00087607"/>
    <w:rsid w:val="00090C14"/>
    <w:rsid w:val="000A0D90"/>
    <w:rsid w:val="000A2755"/>
    <w:rsid w:val="000A32E5"/>
    <w:rsid w:val="000A7041"/>
    <w:rsid w:val="000A7E71"/>
    <w:rsid w:val="000B0216"/>
    <w:rsid w:val="000B02E0"/>
    <w:rsid w:val="000B1330"/>
    <w:rsid w:val="000B7F17"/>
    <w:rsid w:val="000C74E1"/>
    <w:rsid w:val="000D0803"/>
    <w:rsid w:val="000D1878"/>
    <w:rsid w:val="000D31C7"/>
    <w:rsid w:val="000D5383"/>
    <w:rsid w:val="000D7B27"/>
    <w:rsid w:val="000E2130"/>
    <w:rsid w:val="000E37E6"/>
    <w:rsid w:val="000E41B0"/>
    <w:rsid w:val="000E4536"/>
    <w:rsid w:val="000E5E12"/>
    <w:rsid w:val="000E76A2"/>
    <w:rsid w:val="000F0E2C"/>
    <w:rsid w:val="000F2160"/>
    <w:rsid w:val="000F2903"/>
    <w:rsid w:val="000F406F"/>
    <w:rsid w:val="000F6B1F"/>
    <w:rsid w:val="000F75A5"/>
    <w:rsid w:val="00102DF0"/>
    <w:rsid w:val="00107237"/>
    <w:rsid w:val="00107432"/>
    <w:rsid w:val="00110214"/>
    <w:rsid w:val="00111472"/>
    <w:rsid w:val="001149AF"/>
    <w:rsid w:val="00114AFE"/>
    <w:rsid w:val="00115F31"/>
    <w:rsid w:val="00117FD5"/>
    <w:rsid w:val="001247D3"/>
    <w:rsid w:val="0012556E"/>
    <w:rsid w:val="00125BFB"/>
    <w:rsid w:val="00125E4C"/>
    <w:rsid w:val="0013247D"/>
    <w:rsid w:val="00133784"/>
    <w:rsid w:val="0013508F"/>
    <w:rsid w:val="00137B82"/>
    <w:rsid w:val="00142984"/>
    <w:rsid w:val="0014481D"/>
    <w:rsid w:val="00150FDD"/>
    <w:rsid w:val="00151B4A"/>
    <w:rsid w:val="0015319D"/>
    <w:rsid w:val="00155BA2"/>
    <w:rsid w:val="0015766C"/>
    <w:rsid w:val="0016083B"/>
    <w:rsid w:val="0016381D"/>
    <w:rsid w:val="00167985"/>
    <w:rsid w:val="00167F6E"/>
    <w:rsid w:val="00170067"/>
    <w:rsid w:val="00170426"/>
    <w:rsid w:val="0017132B"/>
    <w:rsid w:val="00172A27"/>
    <w:rsid w:val="001776CE"/>
    <w:rsid w:val="001823F0"/>
    <w:rsid w:val="00184019"/>
    <w:rsid w:val="00186D80"/>
    <w:rsid w:val="0019244E"/>
    <w:rsid w:val="00195E4A"/>
    <w:rsid w:val="001961AE"/>
    <w:rsid w:val="00197DF0"/>
    <w:rsid w:val="001A0EBF"/>
    <w:rsid w:val="001A1028"/>
    <w:rsid w:val="001A6C9D"/>
    <w:rsid w:val="001B062F"/>
    <w:rsid w:val="001B1F37"/>
    <w:rsid w:val="001B293E"/>
    <w:rsid w:val="001B2B4D"/>
    <w:rsid w:val="001B60EA"/>
    <w:rsid w:val="001B65A9"/>
    <w:rsid w:val="001C37EC"/>
    <w:rsid w:val="001C444B"/>
    <w:rsid w:val="001C5454"/>
    <w:rsid w:val="001C5FD0"/>
    <w:rsid w:val="001C6FF9"/>
    <w:rsid w:val="001C7171"/>
    <w:rsid w:val="001D09B8"/>
    <w:rsid w:val="001D1089"/>
    <w:rsid w:val="001D197E"/>
    <w:rsid w:val="001D5334"/>
    <w:rsid w:val="001D637E"/>
    <w:rsid w:val="001E1750"/>
    <w:rsid w:val="001E24D4"/>
    <w:rsid w:val="001E24EC"/>
    <w:rsid w:val="001E4025"/>
    <w:rsid w:val="001E457C"/>
    <w:rsid w:val="001F0816"/>
    <w:rsid w:val="001F65C5"/>
    <w:rsid w:val="001F789E"/>
    <w:rsid w:val="0020078E"/>
    <w:rsid w:val="002022B9"/>
    <w:rsid w:val="0020598C"/>
    <w:rsid w:val="00207BDB"/>
    <w:rsid w:val="00210B2C"/>
    <w:rsid w:val="00210B61"/>
    <w:rsid w:val="002111EE"/>
    <w:rsid w:val="0021146E"/>
    <w:rsid w:val="00211F82"/>
    <w:rsid w:val="002122D4"/>
    <w:rsid w:val="002139C7"/>
    <w:rsid w:val="00213DC0"/>
    <w:rsid w:val="00221DFE"/>
    <w:rsid w:val="002233D4"/>
    <w:rsid w:val="00224A07"/>
    <w:rsid w:val="00226C5A"/>
    <w:rsid w:val="002270C1"/>
    <w:rsid w:val="00231B86"/>
    <w:rsid w:val="00231EBE"/>
    <w:rsid w:val="00232600"/>
    <w:rsid w:val="00232FE3"/>
    <w:rsid w:val="00232FE4"/>
    <w:rsid w:val="002332B6"/>
    <w:rsid w:val="0024268A"/>
    <w:rsid w:val="00253115"/>
    <w:rsid w:val="0026303E"/>
    <w:rsid w:val="00263EE2"/>
    <w:rsid w:val="00265A3A"/>
    <w:rsid w:val="002661EC"/>
    <w:rsid w:val="002669B6"/>
    <w:rsid w:val="0027011F"/>
    <w:rsid w:val="0027025F"/>
    <w:rsid w:val="00270E32"/>
    <w:rsid w:val="002710B8"/>
    <w:rsid w:val="002713E0"/>
    <w:rsid w:val="00272A85"/>
    <w:rsid w:val="00274233"/>
    <w:rsid w:val="002773A0"/>
    <w:rsid w:val="00282C2B"/>
    <w:rsid w:val="0029068E"/>
    <w:rsid w:val="00290D6B"/>
    <w:rsid w:val="00294BC6"/>
    <w:rsid w:val="00294BDE"/>
    <w:rsid w:val="00294D2F"/>
    <w:rsid w:val="00296D34"/>
    <w:rsid w:val="002A412F"/>
    <w:rsid w:val="002B09AE"/>
    <w:rsid w:val="002B7143"/>
    <w:rsid w:val="002B74AA"/>
    <w:rsid w:val="002B7DA7"/>
    <w:rsid w:val="002C47BC"/>
    <w:rsid w:val="002D0011"/>
    <w:rsid w:val="002D1809"/>
    <w:rsid w:val="002D35C0"/>
    <w:rsid w:val="002D38E5"/>
    <w:rsid w:val="002D486B"/>
    <w:rsid w:val="002D489D"/>
    <w:rsid w:val="002D5305"/>
    <w:rsid w:val="002D748B"/>
    <w:rsid w:val="002E5BA7"/>
    <w:rsid w:val="002F0219"/>
    <w:rsid w:val="002F6E69"/>
    <w:rsid w:val="00301BBA"/>
    <w:rsid w:val="0030390E"/>
    <w:rsid w:val="00304325"/>
    <w:rsid w:val="00311702"/>
    <w:rsid w:val="0031481E"/>
    <w:rsid w:val="0031518E"/>
    <w:rsid w:val="00316B3F"/>
    <w:rsid w:val="003171C0"/>
    <w:rsid w:val="003207A7"/>
    <w:rsid w:val="00321960"/>
    <w:rsid w:val="00322604"/>
    <w:rsid w:val="00323FD0"/>
    <w:rsid w:val="00324F4C"/>
    <w:rsid w:val="00326A28"/>
    <w:rsid w:val="00331F0D"/>
    <w:rsid w:val="0033493C"/>
    <w:rsid w:val="00335733"/>
    <w:rsid w:val="003367CC"/>
    <w:rsid w:val="003369FE"/>
    <w:rsid w:val="00341E6C"/>
    <w:rsid w:val="003425AA"/>
    <w:rsid w:val="003439FD"/>
    <w:rsid w:val="0034463D"/>
    <w:rsid w:val="00344C60"/>
    <w:rsid w:val="00345092"/>
    <w:rsid w:val="00345DCF"/>
    <w:rsid w:val="003466B0"/>
    <w:rsid w:val="00346C30"/>
    <w:rsid w:val="0034701E"/>
    <w:rsid w:val="003473D6"/>
    <w:rsid w:val="00350E02"/>
    <w:rsid w:val="00354A29"/>
    <w:rsid w:val="0036187C"/>
    <w:rsid w:val="00362A69"/>
    <w:rsid w:val="00363B33"/>
    <w:rsid w:val="00364D86"/>
    <w:rsid w:val="00366644"/>
    <w:rsid w:val="00366A03"/>
    <w:rsid w:val="00367C74"/>
    <w:rsid w:val="003733C9"/>
    <w:rsid w:val="00374547"/>
    <w:rsid w:val="00376739"/>
    <w:rsid w:val="003772AC"/>
    <w:rsid w:val="0038681E"/>
    <w:rsid w:val="00386AB9"/>
    <w:rsid w:val="00387C92"/>
    <w:rsid w:val="00390ABE"/>
    <w:rsid w:val="00392032"/>
    <w:rsid w:val="003A0A2C"/>
    <w:rsid w:val="003A1C69"/>
    <w:rsid w:val="003A3B08"/>
    <w:rsid w:val="003A4E6D"/>
    <w:rsid w:val="003B32A7"/>
    <w:rsid w:val="003B34E2"/>
    <w:rsid w:val="003B3F67"/>
    <w:rsid w:val="003B4301"/>
    <w:rsid w:val="003B71FC"/>
    <w:rsid w:val="003C0B34"/>
    <w:rsid w:val="003C35F1"/>
    <w:rsid w:val="003C6496"/>
    <w:rsid w:val="003D1BDA"/>
    <w:rsid w:val="003D3ED4"/>
    <w:rsid w:val="003D61D5"/>
    <w:rsid w:val="003D7461"/>
    <w:rsid w:val="003E262B"/>
    <w:rsid w:val="003E4711"/>
    <w:rsid w:val="003E5556"/>
    <w:rsid w:val="003E5D24"/>
    <w:rsid w:val="003E7375"/>
    <w:rsid w:val="003F5964"/>
    <w:rsid w:val="003F5D32"/>
    <w:rsid w:val="00400E2C"/>
    <w:rsid w:val="004031BC"/>
    <w:rsid w:val="00405D47"/>
    <w:rsid w:val="00406B46"/>
    <w:rsid w:val="00410411"/>
    <w:rsid w:val="00412B6A"/>
    <w:rsid w:val="00413BC6"/>
    <w:rsid w:val="00416379"/>
    <w:rsid w:val="00435C0A"/>
    <w:rsid w:val="00440A47"/>
    <w:rsid w:val="00442DA1"/>
    <w:rsid w:val="00443328"/>
    <w:rsid w:val="0044488D"/>
    <w:rsid w:val="00445E78"/>
    <w:rsid w:val="0044702C"/>
    <w:rsid w:val="00454FBB"/>
    <w:rsid w:val="00455FF4"/>
    <w:rsid w:val="004607FD"/>
    <w:rsid w:val="00462348"/>
    <w:rsid w:val="00464D91"/>
    <w:rsid w:val="00465436"/>
    <w:rsid w:val="00467431"/>
    <w:rsid w:val="00475CEF"/>
    <w:rsid w:val="00475EDF"/>
    <w:rsid w:val="0047767A"/>
    <w:rsid w:val="00481637"/>
    <w:rsid w:val="004830CB"/>
    <w:rsid w:val="0048482E"/>
    <w:rsid w:val="00484C13"/>
    <w:rsid w:val="00484CC0"/>
    <w:rsid w:val="00484D66"/>
    <w:rsid w:val="00485FDE"/>
    <w:rsid w:val="00490C6B"/>
    <w:rsid w:val="00492973"/>
    <w:rsid w:val="00492A60"/>
    <w:rsid w:val="004A0F9B"/>
    <w:rsid w:val="004A5981"/>
    <w:rsid w:val="004A6E98"/>
    <w:rsid w:val="004B0533"/>
    <w:rsid w:val="004B7583"/>
    <w:rsid w:val="004C1AB8"/>
    <w:rsid w:val="004C1C7B"/>
    <w:rsid w:val="004C399B"/>
    <w:rsid w:val="004C43C7"/>
    <w:rsid w:val="004C6442"/>
    <w:rsid w:val="004C6B98"/>
    <w:rsid w:val="004C7193"/>
    <w:rsid w:val="004D043F"/>
    <w:rsid w:val="004D225B"/>
    <w:rsid w:val="004D56E2"/>
    <w:rsid w:val="004E2640"/>
    <w:rsid w:val="004F01C6"/>
    <w:rsid w:val="004F2701"/>
    <w:rsid w:val="004F2B79"/>
    <w:rsid w:val="004F5D92"/>
    <w:rsid w:val="004F6772"/>
    <w:rsid w:val="0050040E"/>
    <w:rsid w:val="00500863"/>
    <w:rsid w:val="005011D4"/>
    <w:rsid w:val="005039A7"/>
    <w:rsid w:val="00505B64"/>
    <w:rsid w:val="00506738"/>
    <w:rsid w:val="005109A3"/>
    <w:rsid w:val="00512FF3"/>
    <w:rsid w:val="00513297"/>
    <w:rsid w:val="0051675E"/>
    <w:rsid w:val="0052155E"/>
    <w:rsid w:val="00522F0F"/>
    <w:rsid w:val="005233EC"/>
    <w:rsid w:val="0053096A"/>
    <w:rsid w:val="0053153E"/>
    <w:rsid w:val="00531E3D"/>
    <w:rsid w:val="005344D3"/>
    <w:rsid w:val="00536282"/>
    <w:rsid w:val="005373CB"/>
    <w:rsid w:val="0053776B"/>
    <w:rsid w:val="00540F27"/>
    <w:rsid w:val="00543249"/>
    <w:rsid w:val="0054412E"/>
    <w:rsid w:val="0054677A"/>
    <w:rsid w:val="00546D16"/>
    <w:rsid w:val="00547154"/>
    <w:rsid w:val="00551381"/>
    <w:rsid w:val="00551AF3"/>
    <w:rsid w:val="00551ED0"/>
    <w:rsid w:val="00555B87"/>
    <w:rsid w:val="00561B5E"/>
    <w:rsid w:val="005646A8"/>
    <w:rsid w:val="00565412"/>
    <w:rsid w:val="00567075"/>
    <w:rsid w:val="00574539"/>
    <w:rsid w:val="005755A8"/>
    <w:rsid w:val="00577962"/>
    <w:rsid w:val="005831C6"/>
    <w:rsid w:val="00585BC9"/>
    <w:rsid w:val="00592AAA"/>
    <w:rsid w:val="0059306C"/>
    <w:rsid w:val="00594782"/>
    <w:rsid w:val="00594ACF"/>
    <w:rsid w:val="005967A0"/>
    <w:rsid w:val="005A1892"/>
    <w:rsid w:val="005A21B3"/>
    <w:rsid w:val="005A40D3"/>
    <w:rsid w:val="005A519A"/>
    <w:rsid w:val="005A610B"/>
    <w:rsid w:val="005B024D"/>
    <w:rsid w:val="005B2496"/>
    <w:rsid w:val="005B297E"/>
    <w:rsid w:val="005B2B10"/>
    <w:rsid w:val="005C18B7"/>
    <w:rsid w:val="005C1C2D"/>
    <w:rsid w:val="005C1FA3"/>
    <w:rsid w:val="005C3252"/>
    <w:rsid w:val="005D4E72"/>
    <w:rsid w:val="005D599A"/>
    <w:rsid w:val="005D6B39"/>
    <w:rsid w:val="005D7FCC"/>
    <w:rsid w:val="005E134E"/>
    <w:rsid w:val="005E16E7"/>
    <w:rsid w:val="005E36BC"/>
    <w:rsid w:val="005E471A"/>
    <w:rsid w:val="005E6413"/>
    <w:rsid w:val="005F0341"/>
    <w:rsid w:val="005F1C91"/>
    <w:rsid w:val="005F2D23"/>
    <w:rsid w:val="005F3F69"/>
    <w:rsid w:val="005F3F70"/>
    <w:rsid w:val="005F430E"/>
    <w:rsid w:val="005F4BA3"/>
    <w:rsid w:val="005F7113"/>
    <w:rsid w:val="006007ED"/>
    <w:rsid w:val="00602C9D"/>
    <w:rsid w:val="00613A94"/>
    <w:rsid w:val="00616162"/>
    <w:rsid w:val="00616C4D"/>
    <w:rsid w:val="00617765"/>
    <w:rsid w:val="00620166"/>
    <w:rsid w:val="006204B9"/>
    <w:rsid w:val="006221DE"/>
    <w:rsid w:val="006238B2"/>
    <w:rsid w:val="006247E4"/>
    <w:rsid w:val="00630A0B"/>
    <w:rsid w:val="006330B8"/>
    <w:rsid w:val="00636296"/>
    <w:rsid w:val="00640B31"/>
    <w:rsid w:val="006431B4"/>
    <w:rsid w:val="00643CA2"/>
    <w:rsid w:val="0064531C"/>
    <w:rsid w:val="00645818"/>
    <w:rsid w:val="00646A90"/>
    <w:rsid w:val="00652976"/>
    <w:rsid w:val="0065371E"/>
    <w:rsid w:val="00653A44"/>
    <w:rsid w:val="00654F39"/>
    <w:rsid w:val="00661964"/>
    <w:rsid w:val="00665DCB"/>
    <w:rsid w:val="00667CBE"/>
    <w:rsid w:val="00671D18"/>
    <w:rsid w:val="00675CA1"/>
    <w:rsid w:val="00676472"/>
    <w:rsid w:val="006846DB"/>
    <w:rsid w:val="00691463"/>
    <w:rsid w:val="00694C54"/>
    <w:rsid w:val="0069671E"/>
    <w:rsid w:val="00697B94"/>
    <w:rsid w:val="006A0235"/>
    <w:rsid w:val="006A50AB"/>
    <w:rsid w:val="006A54D4"/>
    <w:rsid w:val="006A5E5E"/>
    <w:rsid w:val="006A62AF"/>
    <w:rsid w:val="006A6721"/>
    <w:rsid w:val="006A728B"/>
    <w:rsid w:val="006A7B01"/>
    <w:rsid w:val="006B0730"/>
    <w:rsid w:val="006B2173"/>
    <w:rsid w:val="006B5892"/>
    <w:rsid w:val="006C2EC5"/>
    <w:rsid w:val="006C3613"/>
    <w:rsid w:val="006C48DF"/>
    <w:rsid w:val="006D2734"/>
    <w:rsid w:val="006D6890"/>
    <w:rsid w:val="006E0A8D"/>
    <w:rsid w:val="006E2C41"/>
    <w:rsid w:val="006E3ADD"/>
    <w:rsid w:val="006E4181"/>
    <w:rsid w:val="006E5339"/>
    <w:rsid w:val="006F28B3"/>
    <w:rsid w:val="006F3570"/>
    <w:rsid w:val="006F4106"/>
    <w:rsid w:val="006F7571"/>
    <w:rsid w:val="007023BD"/>
    <w:rsid w:val="00703E1B"/>
    <w:rsid w:val="00705024"/>
    <w:rsid w:val="00706CC7"/>
    <w:rsid w:val="00713691"/>
    <w:rsid w:val="007155F8"/>
    <w:rsid w:val="00715A52"/>
    <w:rsid w:val="00720089"/>
    <w:rsid w:val="00731F18"/>
    <w:rsid w:val="00732D97"/>
    <w:rsid w:val="007348EB"/>
    <w:rsid w:val="00734B6D"/>
    <w:rsid w:val="00735892"/>
    <w:rsid w:val="007363D5"/>
    <w:rsid w:val="00740894"/>
    <w:rsid w:val="00740FE1"/>
    <w:rsid w:val="0074314A"/>
    <w:rsid w:val="00746456"/>
    <w:rsid w:val="00747FD9"/>
    <w:rsid w:val="007532AF"/>
    <w:rsid w:val="007538FE"/>
    <w:rsid w:val="00755A8E"/>
    <w:rsid w:val="00756EBC"/>
    <w:rsid w:val="00757F0C"/>
    <w:rsid w:val="00760C8A"/>
    <w:rsid w:val="0077070A"/>
    <w:rsid w:val="00774489"/>
    <w:rsid w:val="0077775C"/>
    <w:rsid w:val="00780FDF"/>
    <w:rsid w:val="00782411"/>
    <w:rsid w:val="00784D97"/>
    <w:rsid w:val="00785682"/>
    <w:rsid w:val="00785894"/>
    <w:rsid w:val="00786A22"/>
    <w:rsid w:val="0078718E"/>
    <w:rsid w:val="00791675"/>
    <w:rsid w:val="00792E30"/>
    <w:rsid w:val="00793441"/>
    <w:rsid w:val="00793B4E"/>
    <w:rsid w:val="0079788A"/>
    <w:rsid w:val="007A0649"/>
    <w:rsid w:val="007A48A4"/>
    <w:rsid w:val="007B2ABD"/>
    <w:rsid w:val="007B2AFC"/>
    <w:rsid w:val="007B4996"/>
    <w:rsid w:val="007B5587"/>
    <w:rsid w:val="007B5B83"/>
    <w:rsid w:val="007C02D1"/>
    <w:rsid w:val="007C2DA9"/>
    <w:rsid w:val="007C3D7C"/>
    <w:rsid w:val="007D0905"/>
    <w:rsid w:val="007D15F6"/>
    <w:rsid w:val="007D2D78"/>
    <w:rsid w:val="007D2EFF"/>
    <w:rsid w:val="007E068D"/>
    <w:rsid w:val="007E250F"/>
    <w:rsid w:val="007E76E9"/>
    <w:rsid w:val="007F197F"/>
    <w:rsid w:val="007F4E22"/>
    <w:rsid w:val="00810EA6"/>
    <w:rsid w:val="00812054"/>
    <w:rsid w:val="00812E17"/>
    <w:rsid w:val="00814B7C"/>
    <w:rsid w:val="00814DA0"/>
    <w:rsid w:val="008151FA"/>
    <w:rsid w:val="008165E2"/>
    <w:rsid w:val="00820FFC"/>
    <w:rsid w:val="00823109"/>
    <w:rsid w:val="008257E6"/>
    <w:rsid w:val="00831F19"/>
    <w:rsid w:val="008377F0"/>
    <w:rsid w:val="008378E6"/>
    <w:rsid w:val="00843D50"/>
    <w:rsid w:val="00843FF0"/>
    <w:rsid w:val="008470E2"/>
    <w:rsid w:val="00853EFF"/>
    <w:rsid w:val="00861BC7"/>
    <w:rsid w:val="00862A2F"/>
    <w:rsid w:val="0086412E"/>
    <w:rsid w:val="00865B91"/>
    <w:rsid w:val="00867982"/>
    <w:rsid w:val="00871078"/>
    <w:rsid w:val="00874270"/>
    <w:rsid w:val="00875837"/>
    <w:rsid w:val="00876ED2"/>
    <w:rsid w:val="00877705"/>
    <w:rsid w:val="00881A1C"/>
    <w:rsid w:val="0088746A"/>
    <w:rsid w:val="0089022B"/>
    <w:rsid w:val="00891E1A"/>
    <w:rsid w:val="00893086"/>
    <w:rsid w:val="008A3A8A"/>
    <w:rsid w:val="008A5379"/>
    <w:rsid w:val="008A621E"/>
    <w:rsid w:val="008A6293"/>
    <w:rsid w:val="008B2D73"/>
    <w:rsid w:val="008B4D3E"/>
    <w:rsid w:val="008B7919"/>
    <w:rsid w:val="008C04AD"/>
    <w:rsid w:val="008C36CB"/>
    <w:rsid w:val="008C697A"/>
    <w:rsid w:val="008D1A06"/>
    <w:rsid w:val="008D1BEE"/>
    <w:rsid w:val="008D7064"/>
    <w:rsid w:val="008D7A9D"/>
    <w:rsid w:val="008E2141"/>
    <w:rsid w:val="008E3D87"/>
    <w:rsid w:val="008E5BA0"/>
    <w:rsid w:val="008E5BA4"/>
    <w:rsid w:val="008E721E"/>
    <w:rsid w:val="008F5E4F"/>
    <w:rsid w:val="009104D6"/>
    <w:rsid w:val="00911268"/>
    <w:rsid w:val="009205D2"/>
    <w:rsid w:val="009205EB"/>
    <w:rsid w:val="00921B10"/>
    <w:rsid w:val="009220D0"/>
    <w:rsid w:val="00922BB5"/>
    <w:rsid w:val="0092312F"/>
    <w:rsid w:val="00934D21"/>
    <w:rsid w:val="00935267"/>
    <w:rsid w:val="009353FA"/>
    <w:rsid w:val="0093745D"/>
    <w:rsid w:val="00940FF6"/>
    <w:rsid w:val="009560E0"/>
    <w:rsid w:val="00963ED2"/>
    <w:rsid w:val="00965BEF"/>
    <w:rsid w:val="00965E5C"/>
    <w:rsid w:val="009667E6"/>
    <w:rsid w:val="00972343"/>
    <w:rsid w:val="00973B9A"/>
    <w:rsid w:val="009741DF"/>
    <w:rsid w:val="0097607F"/>
    <w:rsid w:val="00976538"/>
    <w:rsid w:val="009774BB"/>
    <w:rsid w:val="00980122"/>
    <w:rsid w:val="00983A42"/>
    <w:rsid w:val="0098554D"/>
    <w:rsid w:val="00987810"/>
    <w:rsid w:val="0099140F"/>
    <w:rsid w:val="009915DE"/>
    <w:rsid w:val="009927CA"/>
    <w:rsid w:val="00995720"/>
    <w:rsid w:val="0099689B"/>
    <w:rsid w:val="009971C2"/>
    <w:rsid w:val="00997A27"/>
    <w:rsid w:val="009A39FE"/>
    <w:rsid w:val="009A3A32"/>
    <w:rsid w:val="009A3A68"/>
    <w:rsid w:val="009A4C19"/>
    <w:rsid w:val="009B0E03"/>
    <w:rsid w:val="009B6761"/>
    <w:rsid w:val="009B7616"/>
    <w:rsid w:val="009C2E7D"/>
    <w:rsid w:val="009C4325"/>
    <w:rsid w:val="009C4669"/>
    <w:rsid w:val="009D19A6"/>
    <w:rsid w:val="009D3668"/>
    <w:rsid w:val="009D7733"/>
    <w:rsid w:val="009E0A44"/>
    <w:rsid w:val="009E1EC7"/>
    <w:rsid w:val="009E2932"/>
    <w:rsid w:val="009E60A7"/>
    <w:rsid w:val="009F0B1D"/>
    <w:rsid w:val="009F1395"/>
    <w:rsid w:val="009F303B"/>
    <w:rsid w:val="009F5CC6"/>
    <w:rsid w:val="00A0055B"/>
    <w:rsid w:val="00A02392"/>
    <w:rsid w:val="00A121E0"/>
    <w:rsid w:val="00A222FB"/>
    <w:rsid w:val="00A23431"/>
    <w:rsid w:val="00A30456"/>
    <w:rsid w:val="00A33173"/>
    <w:rsid w:val="00A35A34"/>
    <w:rsid w:val="00A4118E"/>
    <w:rsid w:val="00A44FD1"/>
    <w:rsid w:val="00A63459"/>
    <w:rsid w:val="00A63BB9"/>
    <w:rsid w:val="00A65852"/>
    <w:rsid w:val="00A66FB6"/>
    <w:rsid w:val="00A674AA"/>
    <w:rsid w:val="00A71E40"/>
    <w:rsid w:val="00A72282"/>
    <w:rsid w:val="00A72892"/>
    <w:rsid w:val="00A72C5C"/>
    <w:rsid w:val="00A7352E"/>
    <w:rsid w:val="00A75E8E"/>
    <w:rsid w:val="00A8145E"/>
    <w:rsid w:val="00A82F10"/>
    <w:rsid w:val="00A839C1"/>
    <w:rsid w:val="00A843B6"/>
    <w:rsid w:val="00A86088"/>
    <w:rsid w:val="00A90210"/>
    <w:rsid w:val="00A903A0"/>
    <w:rsid w:val="00A91F76"/>
    <w:rsid w:val="00A92890"/>
    <w:rsid w:val="00A92D71"/>
    <w:rsid w:val="00A963B3"/>
    <w:rsid w:val="00A970C8"/>
    <w:rsid w:val="00AA271B"/>
    <w:rsid w:val="00AA3273"/>
    <w:rsid w:val="00AA7CCE"/>
    <w:rsid w:val="00AB28FC"/>
    <w:rsid w:val="00AB2B45"/>
    <w:rsid w:val="00AB2E00"/>
    <w:rsid w:val="00AC24E3"/>
    <w:rsid w:val="00AC5C42"/>
    <w:rsid w:val="00AD14BF"/>
    <w:rsid w:val="00AD2AC8"/>
    <w:rsid w:val="00AD61F7"/>
    <w:rsid w:val="00AE086D"/>
    <w:rsid w:val="00AE283B"/>
    <w:rsid w:val="00AE2F92"/>
    <w:rsid w:val="00AE43F4"/>
    <w:rsid w:val="00AE4CEC"/>
    <w:rsid w:val="00AF55FE"/>
    <w:rsid w:val="00B0120F"/>
    <w:rsid w:val="00B04DF2"/>
    <w:rsid w:val="00B062C2"/>
    <w:rsid w:val="00B06810"/>
    <w:rsid w:val="00B06A8C"/>
    <w:rsid w:val="00B14645"/>
    <w:rsid w:val="00B15167"/>
    <w:rsid w:val="00B15463"/>
    <w:rsid w:val="00B165E0"/>
    <w:rsid w:val="00B17819"/>
    <w:rsid w:val="00B17A76"/>
    <w:rsid w:val="00B25757"/>
    <w:rsid w:val="00B271A4"/>
    <w:rsid w:val="00B3021D"/>
    <w:rsid w:val="00B36774"/>
    <w:rsid w:val="00B414AC"/>
    <w:rsid w:val="00B41D30"/>
    <w:rsid w:val="00B42634"/>
    <w:rsid w:val="00B44470"/>
    <w:rsid w:val="00B46081"/>
    <w:rsid w:val="00B51DA0"/>
    <w:rsid w:val="00B51E38"/>
    <w:rsid w:val="00B52084"/>
    <w:rsid w:val="00B52E49"/>
    <w:rsid w:val="00B53C30"/>
    <w:rsid w:val="00B56144"/>
    <w:rsid w:val="00B61CF6"/>
    <w:rsid w:val="00B624D7"/>
    <w:rsid w:val="00B62BA6"/>
    <w:rsid w:val="00B6782E"/>
    <w:rsid w:val="00B709E2"/>
    <w:rsid w:val="00B709FC"/>
    <w:rsid w:val="00B70F34"/>
    <w:rsid w:val="00B8067A"/>
    <w:rsid w:val="00B81B7C"/>
    <w:rsid w:val="00B82BE7"/>
    <w:rsid w:val="00B85F99"/>
    <w:rsid w:val="00B867BA"/>
    <w:rsid w:val="00B9092C"/>
    <w:rsid w:val="00B92962"/>
    <w:rsid w:val="00B94728"/>
    <w:rsid w:val="00B96A90"/>
    <w:rsid w:val="00B96BDA"/>
    <w:rsid w:val="00BA49FB"/>
    <w:rsid w:val="00BA58B1"/>
    <w:rsid w:val="00BA7713"/>
    <w:rsid w:val="00BB257A"/>
    <w:rsid w:val="00BB44A5"/>
    <w:rsid w:val="00BB62C8"/>
    <w:rsid w:val="00BC1F92"/>
    <w:rsid w:val="00BC40F0"/>
    <w:rsid w:val="00BD111A"/>
    <w:rsid w:val="00BD719C"/>
    <w:rsid w:val="00BE1BE1"/>
    <w:rsid w:val="00BE3135"/>
    <w:rsid w:val="00BE40CF"/>
    <w:rsid w:val="00BE4A0B"/>
    <w:rsid w:val="00BE4C53"/>
    <w:rsid w:val="00BF0368"/>
    <w:rsid w:val="00BF1E29"/>
    <w:rsid w:val="00BF45C7"/>
    <w:rsid w:val="00C03B0C"/>
    <w:rsid w:val="00C05A9B"/>
    <w:rsid w:val="00C06766"/>
    <w:rsid w:val="00C06E6D"/>
    <w:rsid w:val="00C07719"/>
    <w:rsid w:val="00C13873"/>
    <w:rsid w:val="00C22A00"/>
    <w:rsid w:val="00C306DB"/>
    <w:rsid w:val="00C3076E"/>
    <w:rsid w:val="00C30ADF"/>
    <w:rsid w:val="00C35C96"/>
    <w:rsid w:val="00C35D5D"/>
    <w:rsid w:val="00C364D6"/>
    <w:rsid w:val="00C40B65"/>
    <w:rsid w:val="00C41AF1"/>
    <w:rsid w:val="00C4202D"/>
    <w:rsid w:val="00C42808"/>
    <w:rsid w:val="00C434B0"/>
    <w:rsid w:val="00C515BF"/>
    <w:rsid w:val="00C52A1F"/>
    <w:rsid w:val="00C567A3"/>
    <w:rsid w:val="00C57211"/>
    <w:rsid w:val="00C61290"/>
    <w:rsid w:val="00C62ED8"/>
    <w:rsid w:val="00C63755"/>
    <w:rsid w:val="00C703EA"/>
    <w:rsid w:val="00C74384"/>
    <w:rsid w:val="00C7560F"/>
    <w:rsid w:val="00C76465"/>
    <w:rsid w:val="00C81BF7"/>
    <w:rsid w:val="00C82757"/>
    <w:rsid w:val="00C83936"/>
    <w:rsid w:val="00C83FDD"/>
    <w:rsid w:val="00C85156"/>
    <w:rsid w:val="00C85D8A"/>
    <w:rsid w:val="00C863D4"/>
    <w:rsid w:val="00C869AC"/>
    <w:rsid w:val="00C92F2F"/>
    <w:rsid w:val="00C941DB"/>
    <w:rsid w:val="00CA0608"/>
    <w:rsid w:val="00CA0A54"/>
    <w:rsid w:val="00CB09CA"/>
    <w:rsid w:val="00CB0C69"/>
    <w:rsid w:val="00CB1D6E"/>
    <w:rsid w:val="00CB3256"/>
    <w:rsid w:val="00CC2894"/>
    <w:rsid w:val="00CC4038"/>
    <w:rsid w:val="00CC5805"/>
    <w:rsid w:val="00CD0F4A"/>
    <w:rsid w:val="00CD3AF5"/>
    <w:rsid w:val="00CD3DE7"/>
    <w:rsid w:val="00CE0139"/>
    <w:rsid w:val="00CE01D8"/>
    <w:rsid w:val="00CF076F"/>
    <w:rsid w:val="00CF15F8"/>
    <w:rsid w:val="00CF564F"/>
    <w:rsid w:val="00D06B98"/>
    <w:rsid w:val="00D15860"/>
    <w:rsid w:val="00D1793C"/>
    <w:rsid w:val="00D2442B"/>
    <w:rsid w:val="00D27621"/>
    <w:rsid w:val="00D30E34"/>
    <w:rsid w:val="00D318F4"/>
    <w:rsid w:val="00D31DBB"/>
    <w:rsid w:val="00D32D17"/>
    <w:rsid w:val="00D36154"/>
    <w:rsid w:val="00D366B3"/>
    <w:rsid w:val="00D40ECB"/>
    <w:rsid w:val="00D4439A"/>
    <w:rsid w:val="00D46B4C"/>
    <w:rsid w:val="00D46B74"/>
    <w:rsid w:val="00D52159"/>
    <w:rsid w:val="00D548A9"/>
    <w:rsid w:val="00D55F96"/>
    <w:rsid w:val="00D63781"/>
    <w:rsid w:val="00D63970"/>
    <w:rsid w:val="00D672A9"/>
    <w:rsid w:val="00D67539"/>
    <w:rsid w:val="00D746B3"/>
    <w:rsid w:val="00D746FC"/>
    <w:rsid w:val="00D76590"/>
    <w:rsid w:val="00D76F40"/>
    <w:rsid w:val="00D77EF0"/>
    <w:rsid w:val="00D80C7C"/>
    <w:rsid w:val="00D81063"/>
    <w:rsid w:val="00D86429"/>
    <w:rsid w:val="00D8759A"/>
    <w:rsid w:val="00D87648"/>
    <w:rsid w:val="00D9080F"/>
    <w:rsid w:val="00D908C3"/>
    <w:rsid w:val="00D9327A"/>
    <w:rsid w:val="00D93A23"/>
    <w:rsid w:val="00D97195"/>
    <w:rsid w:val="00D971B4"/>
    <w:rsid w:val="00DA0B8E"/>
    <w:rsid w:val="00DA4FA5"/>
    <w:rsid w:val="00DB337C"/>
    <w:rsid w:val="00DB6188"/>
    <w:rsid w:val="00DB6874"/>
    <w:rsid w:val="00DB72F2"/>
    <w:rsid w:val="00DC2CC1"/>
    <w:rsid w:val="00DC7D38"/>
    <w:rsid w:val="00DD06DC"/>
    <w:rsid w:val="00DD075B"/>
    <w:rsid w:val="00DD2032"/>
    <w:rsid w:val="00DD56FE"/>
    <w:rsid w:val="00DD667B"/>
    <w:rsid w:val="00DD6CC2"/>
    <w:rsid w:val="00DE332A"/>
    <w:rsid w:val="00DE3C7F"/>
    <w:rsid w:val="00DF1AE4"/>
    <w:rsid w:val="00DF3395"/>
    <w:rsid w:val="00DF5F65"/>
    <w:rsid w:val="00DF74F0"/>
    <w:rsid w:val="00E00E61"/>
    <w:rsid w:val="00E0315F"/>
    <w:rsid w:val="00E03A96"/>
    <w:rsid w:val="00E13F48"/>
    <w:rsid w:val="00E1422B"/>
    <w:rsid w:val="00E21751"/>
    <w:rsid w:val="00E22462"/>
    <w:rsid w:val="00E23138"/>
    <w:rsid w:val="00E25D51"/>
    <w:rsid w:val="00E26850"/>
    <w:rsid w:val="00E27409"/>
    <w:rsid w:val="00E2757E"/>
    <w:rsid w:val="00E31164"/>
    <w:rsid w:val="00E32F8F"/>
    <w:rsid w:val="00E37026"/>
    <w:rsid w:val="00E41CA1"/>
    <w:rsid w:val="00E41E4F"/>
    <w:rsid w:val="00E41EB6"/>
    <w:rsid w:val="00E42853"/>
    <w:rsid w:val="00E43BF9"/>
    <w:rsid w:val="00E46181"/>
    <w:rsid w:val="00E50120"/>
    <w:rsid w:val="00E551AE"/>
    <w:rsid w:val="00E558F4"/>
    <w:rsid w:val="00E63270"/>
    <w:rsid w:val="00E634E2"/>
    <w:rsid w:val="00E65E82"/>
    <w:rsid w:val="00E661C3"/>
    <w:rsid w:val="00E708A1"/>
    <w:rsid w:val="00E71BA9"/>
    <w:rsid w:val="00E71CE8"/>
    <w:rsid w:val="00E771A2"/>
    <w:rsid w:val="00E80BAB"/>
    <w:rsid w:val="00E80D85"/>
    <w:rsid w:val="00E86A5F"/>
    <w:rsid w:val="00E873C2"/>
    <w:rsid w:val="00E91B7F"/>
    <w:rsid w:val="00EA03C9"/>
    <w:rsid w:val="00EA1878"/>
    <w:rsid w:val="00EA1A64"/>
    <w:rsid w:val="00EA1E74"/>
    <w:rsid w:val="00EA3766"/>
    <w:rsid w:val="00EA3C4D"/>
    <w:rsid w:val="00EA7745"/>
    <w:rsid w:val="00EB21BF"/>
    <w:rsid w:val="00EB25B2"/>
    <w:rsid w:val="00EB2665"/>
    <w:rsid w:val="00EB79FB"/>
    <w:rsid w:val="00EC1554"/>
    <w:rsid w:val="00EC18E9"/>
    <w:rsid w:val="00EC2025"/>
    <w:rsid w:val="00EC2E43"/>
    <w:rsid w:val="00EC3566"/>
    <w:rsid w:val="00EC3CC3"/>
    <w:rsid w:val="00EC5B08"/>
    <w:rsid w:val="00EC623C"/>
    <w:rsid w:val="00EC7B7A"/>
    <w:rsid w:val="00EC7B9C"/>
    <w:rsid w:val="00ED2A40"/>
    <w:rsid w:val="00ED3294"/>
    <w:rsid w:val="00ED56EF"/>
    <w:rsid w:val="00ED6A00"/>
    <w:rsid w:val="00EE115B"/>
    <w:rsid w:val="00EE1C5A"/>
    <w:rsid w:val="00EE2607"/>
    <w:rsid w:val="00EE413D"/>
    <w:rsid w:val="00EE5778"/>
    <w:rsid w:val="00EE6CC3"/>
    <w:rsid w:val="00EE78E1"/>
    <w:rsid w:val="00EF09A3"/>
    <w:rsid w:val="00EF11F9"/>
    <w:rsid w:val="00F00C18"/>
    <w:rsid w:val="00F012AE"/>
    <w:rsid w:val="00F03A19"/>
    <w:rsid w:val="00F04DC6"/>
    <w:rsid w:val="00F079BE"/>
    <w:rsid w:val="00F07D0D"/>
    <w:rsid w:val="00F104D7"/>
    <w:rsid w:val="00F13B0F"/>
    <w:rsid w:val="00F211C6"/>
    <w:rsid w:val="00F25922"/>
    <w:rsid w:val="00F2686A"/>
    <w:rsid w:val="00F277B2"/>
    <w:rsid w:val="00F3487B"/>
    <w:rsid w:val="00F37E69"/>
    <w:rsid w:val="00F408D6"/>
    <w:rsid w:val="00F50479"/>
    <w:rsid w:val="00F50C7B"/>
    <w:rsid w:val="00F523E5"/>
    <w:rsid w:val="00F54182"/>
    <w:rsid w:val="00F55095"/>
    <w:rsid w:val="00F55939"/>
    <w:rsid w:val="00F601D0"/>
    <w:rsid w:val="00F65E1A"/>
    <w:rsid w:val="00F67A83"/>
    <w:rsid w:val="00F702EB"/>
    <w:rsid w:val="00F71C18"/>
    <w:rsid w:val="00F72127"/>
    <w:rsid w:val="00F74217"/>
    <w:rsid w:val="00F74C73"/>
    <w:rsid w:val="00F74D3C"/>
    <w:rsid w:val="00F75283"/>
    <w:rsid w:val="00F753CF"/>
    <w:rsid w:val="00F76F11"/>
    <w:rsid w:val="00F8064C"/>
    <w:rsid w:val="00F82353"/>
    <w:rsid w:val="00F82E0A"/>
    <w:rsid w:val="00F83242"/>
    <w:rsid w:val="00F859D5"/>
    <w:rsid w:val="00F90260"/>
    <w:rsid w:val="00F91188"/>
    <w:rsid w:val="00F96274"/>
    <w:rsid w:val="00FA4224"/>
    <w:rsid w:val="00FB012D"/>
    <w:rsid w:val="00FB1075"/>
    <w:rsid w:val="00FB1939"/>
    <w:rsid w:val="00FB326A"/>
    <w:rsid w:val="00FB6CB9"/>
    <w:rsid w:val="00FC03D4"/>
    <w:rsid w:val="00FC08C3"/>
    <w:rsid w:val="00FC1C9C"/>
    <w:rsid w:val="00FD1922"/>
    <w:rsid w:val="00FD1A1E"/>
    <w:rsid w:val="00FD308D"/>
    <w:rsid w:val="00FE754C"/>
    <w:rsid w:val="00FF6A3B"/>
    <w:rsid w:val="043A3F7F"/>
    <w:rsid w:val="082038E6"/>
    <w:rsid w:val="0B6013F2"/>
    <w:rsid w:val="0E5C209B"/>
    <w:rsid w:val="0E937FF7"/>
    <w:rsid w:val="10196EF9"/>
    <w:rsid w:val="11E164E5"/>
    <w:rsid w:val="13533EC0"/>
    <w:rsid w:val="13A85E50"/>
    <w:rsid w:val="164A2BA1"/>
    <w:rsid w:val="18D57CCC"/>
    <w:rsid w:val="19E47E89"/>
    <w:rsid w:val="1B0A43E8"/>
    <w:rsid w:val="1C2C6E7C"/>
    <w:rsid w:val="22750198"/>
    <w:rsid w:val="257B570D"/>
    <w:rsid w:val="25D5591E"/>
    <w:rsid w:val="287A4275"/>
    <w:rsid w:val="30110AE9"/>
    <w:rsid w:val="34DC77C8"/>
    <w:rsid w:val="36A46DB4"/>
    <w:rsid w:val="3730221B"/>
    <w:rsid w:val="3ACE72C7"/>
    <w:rsid w:val="3CB2519A"/>
    <w:rsid w:val="3E5B60DB"/>
    <w:rsid w:val="481C0CDA"/>
    <w:rsid w:val="492B471A"/>
    <w:rsid w:val="4FF247D5"/>
    <w:rsid w:val="508C2CB2"/>
    <w:rsid w:val="525E4232"/>
    <w:rsid w:val="54D413B8"/>
    <w:rsid w:val="5A9802AF"/>
    <w:rsid w:val="5F6706D0"/>
    <w:rsid w:val="62622FC5"/>
    <w:rsid w:val="637F0FCD"/>
    <w:rsid w:val="66007D67"/>
    <w:rsid w:val="68D77510"/>
    <w:rsid w:val="760630B0"/>
    <w:rsid w:val="7D260BDE"/>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paragraph" w:customStyle="1" w:styleId="9">
    <w:name w:val="Char"/>
    <w:basedOn w:val="1"/>
    <w:uiPriority w:val="0"/>
    <w:rPr>
      <w:rFonts w:ascii="Tahoma" w:hAnsi="Tahoma"/>
      <w:sz w:val="24"/>
      <w:szCs w:val="20"/>
    </w:rPr>
  </w:style>
  <w:style w:type="paragraph" w:customStyle="1" w:styleId="10">
    <w:name w:val="Char Char Char Char1 Char Char Char Char Char Char Char Char Char Char Char Char Char Char Char Char Char"/>
    <w:basedOn w:val="1"/>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1">
    <w:name w:val="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BE030-B80B-46DB-B5B7-B1A32E93DAFD}">
  <ds:schemaRefs/>
</ds:datastoreItem>
</file>

<file path=docProps/app.xml><?xml version="1.0" encoding="utf-8"?>
<Properties xmlns="http://schemas.openxmlformats.org/officeDocument/2006/extended-properties" xmlns:vt="http://schemas.openxmlformats.org/officeDocument/2006/docPropsVTypes">
  <Template>Normal</Template>
  <Pages>41</Pages>
  <Words>11755</Words>
  <Characters>6668</Characters>
  <Lines>55</Lines>
  <Paragraphs>36</Paragraphs>
  <TotalTime>0</TotalTime>
  <ScaleCrop>false</ScaleCrop>
  <LinksUpToDate>false</LinksUpToDate>
  <CharactersWithSpaces>18387</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2021-08-05T12:02:00Z</dcterms:created>
  <dc:creator>Administrator</dc:creator>
  <cp:lastModifiedBy>sfc-财务室</cp:lastModifiedBy>
  <cp:lastPrinted>2021-08-03T01:27:00Z</cp:lastPrinted>
  <dcterms:modified xsi:type="dcterms:W3CDTF">2021-08-06T08:06:51Z</dcterms:modified>
  <dc:title>内部资料，请勿外传（公开时请删除）</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